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9"/>
          <w:tab w:val="left" w:pos="6946" w:leader="none"/>
        </w:tabs>
        <w:jc w:val="center"/>
        <w:rPr>
          <w:rFonts w:ascii="Open Sans" w:hAnsi="Open Sans" w:cs="Open Sans"/>
          <w:b/>
          <w:b/>
          <w:sz w:val="28"/>
          <w:szCs w:val="28"/>
          <w:u w:val="single"/>
        </w:rPr>
      </w:pPr>
      <w:r>
        <w:rPr>
          <w:rFonts w:cs="Open Sans" w:ascii="Open Sans" w:hAnsi="Open Sans"/>
          <w:b/>
          <w:sz w:val="28"/>
          <w:szCs w:val="28"/>
          <w:u w:val="single"/>
        </w:rPr>
        <w:t>MERCATINO DELL’ANTIQUARIATO E DEGLI HOBBISTI</w:t>
      </w:r>
    </w:p>
    <w:p>
      <w:pPr>
        <w:pStyle w:val="Normal"/>
        <w:tabs>
          <w:tab w:val="clear" w:pos="709"/>
          <w:tab w:val="left" w:pos="6946" w:leader="none"/>
        </w:tabs>
        <w:spacing w:before="0" w:after="240"/>
        <w:jc w:val="center"/>
        <w:rPr>
          <w:rFonts w:ascii="Open Sans" w:hAnsi="Open Sans" w:cs="Open Sans"/>
          <w:b/>
          <w:b/>
          <w:sz w:val="28"/>
          <w:szCs w:val="28"/>
          <w:u w:val="single"/>
        </w:rPr>
      </w:pPr>
      <w:r>
        <w:rPr>
          <w:rFonts w:cs="Open Sans" w:ascii="Open Sans" w:hAnsi="Open Sans"/>
          <w:b/>
          <w:sz w:val="28"/>
          <w:szCs w:val="28"/>
          <w:u w:val="single"/>
        </w:rPr>
        <w:t>DEL COMUNE DI NOVELLARA (RE)</w:t>
      </w:r>
    </w:p>
    <w:p>
      <w:pPr>
        <w:pStyle w:val="Normal"/>
        <w:tabs>
          <w:tab w:val="clear" w:pos="709"/>
          <w:tab w:val="left" w:pos="6946" w:leader="none"/>
        </w:tabs>
        <w:jc w:val="center"/>
        <w:rPr>
          <w:rFonts w:ascii="Open Sans" w:hAnsi="Open Sans" w:cs="Open Sans"/>
          <w:szCs w:val="24"/>
        </w:rPr>
      </w:pPr>
      <w:r>
        <w:rPr>
          <w:rFonts w:cs="Open Sans" w:ascii="Open Sans" w:hAnsi="Open Sans"/>
          <w:szCs w:val="24"/>
        </w:rPr>
        <w:t>MODULO RICHIESTA DI PARTECIPAZIONE</w:t>
      </w:r>
    </w:p>
    <w:p>
      <w:pPr>
        <w:pStyle w:val="Normal"/>
        <w:tabs>
          <w:tab w:val="clear" w:pos="709"/>
          <w:tab w:val="left" w:pos="6946" w:leader="none"/>
        </w:tabs>
        <w:jc w:val="center"/>
        <w:rPr>
          <w:rFonts w:ascii="Open Sans" w:hAnsi="Open Sans" w:cs="Open Sans"/>
          <w:szCs w:val="24"/>
        </w:rPr>
      </w:pPr>
      <w:r>
        <w:rPr>
          <w:rFonts w:cs="Open Sans" w:ascii="Open Sans" w:hAnsi="Open Sans"/>
          <w:szCs w:val="24"/>
        </w:rPr>
        <w:t>Da inviare almeno 5 giorni prima dell’edizione al Comune di Novellara</w:t>
      </w:r>
    </w:p>
    <w:p>
      <w:pPr>
        <w:pStyle w:val="Normal"/>
        <w:tabs>
          <w:tab w:val="clear" w:pos="709"/>
          <w:tab w:val="left" w:pos="6946" w:leader="none"/>
        </w:tabs>
        <w:jc w:val="center"/>
        <w:rPr>
          <w:rFonts w:ascii="Open Sans" w:hAnsi="Open Sans" w:cs="Open Sans"/>
          <w:szCs w:val="24"/>
        </w:rPr>
      </w:pPr>
      <w:r>
        <w:rPr>
          <w:rFonts w:cs="Open Sans" w:ascii="Open Sans" w:hAnsi="Open Sans"/>
          <w:szCs w:val="24"/>
        </w:rPr>
        <w:t>Piazzale Marconi n. 1</w:t>
      </w:r>
    </w:p>
    <w:p>
      <w:pPr>
        <w:pStyle w:val="Normal"/>
        <w:tabs>
          <w:tab w:val="clear" w:pos="709"/>
          <w:tab w:val="left" w:pos="6946" w:leader="none"/>
        </w:tabs>
        <w:jc w:val="center"/>
        <w:rPr>
          <w:rFonts w:ascii="Open Sans" w:hAnsi="Open Sans" w:cs="Open Sans"/>
          <w:szCs w:val="24"/>
        </w:rPr>
      </w:pPr>
      <w:r>
        <w:rPr>
          <w:rFonts w:cs="Open Sans" w:ascii="Open Sans" w:hAnsi="Open Sans"/>
          <w:szCs w:val="24"/>
        </w:rPr>
        <w:t>42017 Novellara (RE)</w:t>
      </w:r>
    </w:p>
    <w:p>
      <w:pPr>
        <w:pStyle w:val="Normal"/>
        <w:tabs>
          <w:tab w:val="clear" w:pos="709"/>
          <w:tab w:val="left" w:pos="6946" w:leader="none"/>
        </w:tabs>
        <w:jc w:val="center"/>
        <w:rPr/>
      </w:pPr>
      <w:hyperlink r:id="rId2">
        <w:r>
          <w:rPr>
            <w:rStyle w:val="CollegamentoInternet"/>
            <w:rFonts w:cs="Open Sans" w:ascii="Open Sans" w:hAnsi="Open Sans"/>
            <w:szCs w:val="24"/>
          </w:rPr>
          <w:t>uffici@comune.novellara.re.it</w:t>
        </w:r>
      </w:hyperlink>
      <w:r>
        <w:rPr>
          <w:rFonts w:cs="Open Sans" w:ascii="Open Sans" w:hAnsi="Open Sans"/>
          <w:szCs w:val="24"/>
        </w:rPr>
        <w:t xml:space="preserve"> </w:t>
      </w:r>
    </w:p>
    <w:p>
      <w:pPr>
        <w:pStyle w:val="Normal"/>
        <w:tabs>
          <w:tab w:val="clear" w:pos="709"/>
          <w:tab w:val="left" w:pos="6946" w:leader="none"/>
        </w:tabs>
        <w:jc w:val="center"/>
        <w:rPr/>
      </w:pPr>
      <w:hyperlink r:id="rId3">
        <w:r>
          <w:rPr>
            <w:rStyle w:val="CollegamentoInternet"/>
            <w:rFonts w:cs="Open Sans"/>
            <w:sz w:val="28"/>
            <w:szCs w:val="28"/>
          </w:rPr>
          <w:t>novellara@cert.provincia.re.it</w:t>
        </w:r>
      </w:hyperlink>
    </w:p>
    <w:p>
      <w:pPr>
        <w:pStyle w:val="Normal"/>
        <w:tabs>
          <w:tab w:val="clear" w:pos="709"/>
          <w:tab w:val="left" w:pos="6946" w:leader="none"/>
        </w:tabs>
        <w:rPr>
          <w:rFonts w:cs="Open Sans"/>
          <w:sz w:val="24"/>
          <w:szCs w:val="24"/>
        </w:rPr>
      </w:pPr>
      <w:r>
        <w:rPr>
          <w:rFonts w:cs="Open Sans"/>
          <w:sz w:val="24"/>
          <w:szCs w:val="24"/>
        </w:rPr>
      </w:r>
    </w:p>
    <w:p>
      <w:pPr>
        <w:pStyle w:val="Normal"/>
        <w:spacing w:lineRule="auto" w:line="360"/>
        <w:rPr>
          <w:rFonts w:ascii="Open Sans" w:hAnsi="Open Sans" w:cs="Open Sans"/>
        </w:rPr>
      </w:pPr>
      <w:r>
        <w:rPr>
          <w:rFonts w:cs="Open Sans"/>
          <w:sz w:val="24"/>
          <w:szCs w:val="24"/>
        </w:rPr>
        <w:t>Cognome______________________________ Nome _________________________________________</w:t>
      </w:r>
    </w:p>
    <w:p>
      <w:pPr>
        <w:pStyle w:val="Normal"/>
        <w:spacing w:lineRule="auto" w:line="360" w:before="0" w:after="57"/>
        <w:rPr>
          <w:rFonts w:ascii="Open Sans" w:hAnsi="Open Sans" w:cs="Open Sans"/>
        </w:rPr>
      </w:pPr>
      <w:r>
        <w:rPr>
          <w:rFonts w:cs="Open Sans"/>
          <w:sz w:val="24"/>
          <w:szCs w:val="24"/>
        </w:rPr>
        <w:t>Luogo e data di nascita ________________________________________________________________</w:t>
      </w:r>
    </w:p>
    <w:p>
      <w:pPr>
        <w:pStyle w:val="Normal"/>
        <w:spacing w:lineRule="auto" w:line="360" w:before="0" w:after="57"/>
        <w:rPr>
          <w:sz w:val="24"/>
          <w:szCs w:val="24"/>
        </w:rPr>
      </w:pPr>
      <w:r>
        <w:rPr>
          <w:rFonts w:cs="Open Sans"/>
          <w:sz w:val="24"/>
          <w:szCs w:val="24"/>
        </w:rPr>
        <w:t>Residente in Via ________________________________________________________________________</w:t>
      </w:r>
    </w:p>
    <w:p>
      <w:pPr>
        <w:pStyle w:val="Normal"/>
        <w:spacing w:lineRule="auto" w:line="360" w:before="0" w:after="57"/>
        <w:rPr>
          <w:sz w:val="24"/>
          <w:szCs w:val="24"/>
        </w:rPr>
      </w:pPr>
      <w:r>
        <w:rPr>
          <w:rFonts w:cs="Open Sans"/>
          <w:sz w:val="24"/>
          <w:szCs w:val="24"/>
        </w:rPr>
        <w:t>Cap____________ Comune_______________________________________________________________</w:t>
      </w:r>
    </w:p>
    <w:p>
      <w:pPr>
        <w:pStyle w:val="Normal"/>
        <w:spacing w:lineRule="auto" w:line="360" w:before="0" w:after="57"/>
        <w:rPr>
          <w:sz w:val="24"/>
          <w:szCs w:val="24"/>
        </w:rPr>
      </w:pPr>
      <w:r>
        <w:rPr>
          <w:rFonts w:cs="Open Sans"/>
          <w:sz w:val="24"/>
          <w:szCs w:val="24"/>
        </w:rPr>
        <w:t>Codice Fiscale ____________________________________________, Telefono_____________________</w:t>
      </w:r>
    </w:p>
    <w:p>
      <w:pPr>
        <w:pStyle w:val="Normal"/>
        <w:spacing w:lineRule="auto" w:line="360" w:before="0" w:after="57"/>
        <w:rPr>
          <w:sz w:val="24"/>
          <w:szCs w:val="24"/>
        </w:rPr>
      </w:pPr>
      <w:r>
        <w:rPr>
          <w:rFonts w:cs="Open Sans"/>
          <w:sz w:val="24"/>
          <w:szCs w:val="24"/>
        </w:rPr>
        <w:t>Cellulare ________________________________, E-Mail ________________________________________</w:t>
      </w:r>
    </w:p>
    <w:p>
      <w:pPr>
        <w:pStyle w:val="Normal"/>
        <w:spacing w:lineRule="auto" w:line="360"/>
        <w:rPr>
          <w:sz w:val="24"/>
          <w:szCs w:val="24"/>
        </w:rPr>
      </w:pPr>
      <w:r>
        <w:rPr>
          <w:rFonts w:cs="Open Sans"/>
          <w:sz w:val="24"/>
          <w:szCs w:val="24"/>
          <w:u w:val="single"/>
        </w:rPr>
        <w:t>Pec.:</w:t>
      </w:r>
      <w:r>
        <w:rPr>
          <w:rFonts w:cs="Open Sans"/>
          <w:sz w:val="24"/>
          <w:szCs w:val="24"/>
        </w:rPr>
        <w:t xml:space="preserve"> ___________________________________________________________________________________</w:t>
      </w:r>
    </w:p>
    <w:p>
      <w:pPr>
        <w:pStyle w:val="Normal"/>
        <w:spacing w:before="0" w:after="120"/>
        <w:jc w:val="center"/>
        <w:rPr>
          <w:rFonts w:ascii="Open Sans" w:hAnsi="Open Sans" w:cs="Open Sans"/>
        </w:rPr>
      </w:pPr>
      <w:r>
        <w:rPr>
          <w:rFonts w:cs="Open Sans" w:ascii="Open Sans" w:hAnsi="Open Sans"/>
          <w:b/>
          <w:sz w:val="28"/>
          <w:szCs w:val="28"/>
        </w:rPr>
        <w:t>C H I E D E</w:t>
      </w:r>
    </w:p>
    <w:p>
      <w:pPr>
        <w:pStyle w:val="Normal"/>
        <w:jc w:val="both"/>
        <w:rPr>
          <w:rFonts w:ascii="Open Sans" w:hAnsi="Open Sans" w:cs="Open Sans"/>
          <w:sz w:val="24"/>
          <w:szCs w:val="24"/>
        </w:rPr>
      </w:pPr>
      <w:r>
        <w:rPr>
          <w:rFonts w:cs="Open Sans" w:ascii="Open Sans" w:hAnsi="Open Sans"/>
          <w:sz w:val="24"/>
          <w:szCs w:val="24"/>
        </w:rPr>
        <w:t xml:space="preserve">di poter partecipare al mercatino dell’antiquariato e degli Hobbisti che si tiene la prima domenica del mese nel Comune di Novellara, </w:t>
      </w:r>
      <w:r>
        <w:rPr>
          <w:rFonts w:cs="Open Sans" w:ascii="Open Sans" w:hAnsi="Open Sans"/>
          <w:b/>
          <w:sz w:val="28"/>
          <w:szCs w:val="28"/>
          <w:u w:val="single"/>
        </w:rPr>
        <w:t>in qualità di HOBBISTA</w:t>
      </w:r>
    </w:p>
    <w:p>
      <w:pPr>
        <w:pStyle w:val="Normal"/>
        <w:jc w:val="both"/>
        <w:rPr>
          <w:rFonts w:ascii="Open Sans" w:hAnsi="Open Sans" w:cs="Open Sans"/>
          <w:sz w:val="24"/>
          <w:szCs w:val="24"/>
        </w:rPr>
      </w:pPr>
      <w:r>
        <w:rPr>
          <w:rFonts w:cs="Open Sans" w:ascii="Open Sans" w:hAnsi="Open Sans"/>
          <w:sz w:val="24"/>
          <w:szCs w:val="24"/>
        </w:rPr>
        <w:t xml:space="preserve">alle seguenti edizioni </w:t>
      </w:r>
      <w:r>
        <w:rPr>
          <w:rFonts w:cs="Open Sans" w:ascii="Open Sans" w:hAnsi="Open Sans"/>
          <w:b/>
          <w:bCs/>
          <w:sz w:val="24"/>
          <w:szCs w:val="24"/>
        </w:rPr>
        <w:t>202</w:t>
      </w:r>
      <w:r>
        <w:rPr>
          <w:rFonts w:cs="Open Sans" w:ascii="Open Sans" w:hAnsi="Open Sans"/>
          <w:b/>
          <w:bCs/>
          <w:sz w:val="24"/>
          <w:szCs w:val="24"/>
        </w:rPr>
        <w:t>3</w:t>
      </w:r>
      <w:r>
        <w:rPr>
          <w:rFonts w:cs="Open Sans" w:ascii="Open Sans" w:hAnsi="Open Sans"/>
          <w:sz w:val="24"/>
          <w:szCs w:val="24"/>
        </w:rPr>
        <w:t>:</w:t>
      </w:r>
    </w:p>
    <w:p>
      <w:pPr>
        <w:pStyle w:val="Normal"/>
        <w:numPr>
          <w:ilvl w:val="0"/>
          <w:numId w:val="3"/>
        </w:numPr>
        <w:ind w:left="57" w:hanging="57"/>
        <w:rPr>
          <w:rFonts w:ascii="Open Sans" w:hAnsi="Open Sans" w:cs="Open Sans"/>
          <w:sz w:val="28"/>
          <w:szCs w:val="28"/>
        </w:rPr>
      </w:pPr>
      <w:r>
        <w:rPr>
          <w:rFonts w:cs="Open Sans" w:ascii="Open Sans" w:hAnsi="Open Sans"/>
          <w:sz w:val="28"/>
          <w:szCs w:val="28"/>
        </w:rPr>
        <w:t xml:space="preserve"> </w:t>
      </w:r>
      <w:r>
        <w:rPr>
          <w:rFonts w:cs="Open Sans" w:ascii="Open Sans" w:hAnsi="Open Sans"/>
          <w:sz w:val="28"/>
          <w:szCs w:val="28"/>
        </w:rPr>
        <w:t xml:space="preserve"> </w:t>
      </w:r>
      <w:r>
        <w:rPr>
          <w:rFonts w:cs="Open Sans" w:ascii="Open Sans" w:hAnsi="Open Sans"/>
          <w:sz w:val="28"/>
          <w:szCs w:val="28"/>
        </w:rPr>
        <w:t xml:space="preserve">Febbraio </w:t>
      </w:r>
      <w:r>
        <w:rPr>
          <w:rFonts w:eastAsia="Wingdings" w:cs="Wingdings" w:ascii="Wingdings" w:hAnsi="Wingdings"/>
          <w:sz w:val="28"/>
          <w:szCs w:val="28"/>
        </w:rPr>
        <w:t></w:t>
      </w:r>
      <w:r>
        <w:rPr>
          <w:rFonts w:eastAsia="Times New Roman" w:cs="Open Sans" w:ascii="Open Sans" w:hAnsi="Open Sans"/>
          <w:sz w:val="28"/>
          <w:szCs w:val="28"/>
        </w:rPr>
        <w:t xml:space="preserve"> </w:t>
      </w:r>
      <w:r>
        <w:rPr>
          <w:rFonts w:cs="Open Sans" w:ascii="Open Sans" w:hAnsi="Open Sans"/>
          <w:sz w:val="28"/>
          <w:szCs w:val="28"/>
        </w:rPr>
        <w:t xml:space="preserve">Marzo </w:t>
      </w:r>
      <w:r>
        <w:rPr>
          <w:rFonts w:eastAsia="Wingdings" w:cs="Wingdings" w:ascii="Wingdings" w:hAnsi="Wingdings"/>
          <w:sz w:val="28"/>
          <w:szCs w:val="28"/>
        </w:rPr>
        <w:t></w:t>
      </w:r>
      <w:r>
        <w:rPr>
          <w:rFonts w:eastAsia="Times New Roman" w:cs="Open Sans" w:ascii="Open Sans" w:hAnsi="Open Sans"/>
          <w:sz w:val="28"/>
          <w:szCs w:val="28"/>
        </w:rPr>
        <w:t xml:space="preserve">  </w:t>
      </w:r>
      <w:r>
        <w:rPr>
          <w:rFonts w:cs="Open Sans" w:ascii="Open Sans" w:hAnsi="Open Sans"/>
          <w:sz w:val="28"/>
          <w:szCs w:val="28"/>
        </w:rPr>
        <w:t xml:space="preserve">Aprile </w:t>
      </w:r>
      <w:r>
        <w:rPr>
          <w:rFonts w:eastAsia="Wingdings" w:cs="Wingdings" w:ascii="Wingdings" w:hAnsi="Wingdings"/>
          <w:sz w:val="28"/>
          <w:szCs w:val="28"/>
        </w:rPr>
        <w:t></w:t>
      </w:r>
      <w:r>
        <w:rPr>
          <w:rFonts w:eastAsia="Times New Roman" w:cs="Open Sans" w:ascii="Open Sans" w:hAnsi="Open Sans"/>
          <w:sz w:val="28"/>
          <w:szCs w:val="28"/>
        </w:rPr>
        <w:t xml:space="preserve"> </w:t>
      </w:r>
      <w:r>
        <w:rPr>
          <w:rFonts w:cs="Open Sans" w:ascii="Open Sans" w:hAnsi="Open Sans"/>
          <w:sz w:val="28"/>
          <w:szCs w:val="28"/>
        </w:rPr>
        <w:t xml:space="preserve"> </w:t>
      </w:r>
      <w:r>
        <w:rPr>
          <w:rFonts w:cs="Open Sans" w:ascii="Open Sans" w:hAnsi="Open Sans"/>
          <w:sz w:val="28"/>
          <w:szCs w:val="28"/>
        </w:rPr>
        <w:t>Maggio (speciale in concomitanza della Fiera)</w:t>
      </w:r>
    </w:p>
    <w:p>
      <w:pPr>
        <w:pStyle w:val="Normal"/>
        <w:numPr>
          <w:ilvl w:val="0"/>
          <w:numId w:val="3"/>
        </w:numPr>
        <w:ind w:left="57" w:hanging="57"/>
        <w:rPr>
          <w:rFonts w:ascii="Open Sans" w:hAnsi="Open Sans" w:cs="Open Sans"/>
          <w:sz w:val="28"/>
          <w:szCs w:val="28"/>
        </w:rPr>
      </w:pPr>
      <w:r>
        <w:rPr>
          <w:rFonts w:cs="Open Sans" w:ascii="Open Sans" w:hAnsi="Open Sans"/>
          <w:sz w:val="28"/>
          <w:szCs w:val="28"/>
        </w:rPr>
        <w:t xml:space="preserve">Giugno </w:t>
      </w:r>
      <w:r>
        <w:rPr>
          <w:rFonts w:eastAsia="Wingdings" w:cs="Wingdings" w:ascii="Wingdings" w:hAnsi="Wingdings"/>
          <w:sz w:val="28"/>
          <w:szCs w:val="28"/>
        </w:rPr>
        <w:t></w:t>
      </w:r>
      <w:r>
        <w:rPr>
          <w:rFonts w:eastAsia="Times New Roman" w:cs="Open Sans" w:ascii="Open Sans" w:hAnsi="Open Sans"/>
          <w:sz w:val="28"/>
          <w:szCs w:val="28"/>
        </w:rPr>
        <w:t xml:space="preserve"> </w:t>
      </w:r>
      <w:r>
        <w:rPr>
          <w:rFonts w:cs="Open Sans" w:ascii="Open Sans" w:hAnsi="Open Sans"/>
          <w:sz w:val="28"/>
          <w:szCs w:val="28"/>
        </w:rPr>
        <w:t xml:space="preserve">Luglio </w:t>
      </w:r>
      <w:r>
        <w:rPr>
          <w:rFonts w:eastAsia="Times New Roman" w:cs="Open Sans" w:ascii="Open Sans" w:hAnsi="Open Sans"/>
          <w:sz w:val="28"/>
          <w:szCs w:val="28"/>
        </w:rPr>
        <w:t xml:space="preserve"> </w:t>
      </w:r>
      <w:r>
        <w:rPr>
          <w:rFonts w:eastAsia="Wingdings" w:cs="Wingdings" w:ascii="Wingdings" w:hAnsi="Wingdings"/>
          <w:sz w:val="28"/>
          <w:szCs w:val="28"/>
        </w:rPr>
        <w:t></w:t>
      </w:r>
      <w:r>
        <w:rPr>
          <w:rFonts w:eastAsia="Times New Roman" w:cs="Open Sans" w:ascii="Open Sans" w:hAnsi="Open Sans"/>
          <w:sz w:val="28"/>
          <w:szCs w:val="28"/>
        </w:rPr>
        <w:t xml:space="preserve"> </w:t>
      </w:r>
      <w:r>
        <w:rPr>
          <w:rFonts w:cs="Open Sans" w:ascii="Open Sans" w:hAnsi="Open Sans"/>
          <w:sz w:val="28"/>
          <w:szCs w:val="28"/>
        </w:rPr>
        <w:t xml:space="preserve">Settembre </w:t>
      </w:r>
      <w:r>
        <w:rPr>
          <w:rFonts w:eastAsia="Wingdings" w:cs="Wingdings" w:ascii="Wingdings" w:hAnsi="Wingdings"/>
          <w:sz w:val="28"/>
          <w:szCs w:val="28"/>
        </w:rPr>
        <w:t></w:t>
      </w:r>
      <w:r>
        <w:rPr>
          <w:rFonts w:eastAsia="Times New Roman" w:cs="Open Sans" w:ascii="Open Sans" w:hAnsi="Open Sans"/>
          <w:sz w:val="28"/>
          <w:szCs w:val="28"/>
        </w:rPr>
        <w:t xml:space="preserve">  </w:t>
      </w:r>
      <w:r>
        <w:rPr>
          <w:rFonts w:cs="Open Sans" w:ascii="Open Sans" w:hAnsi="Open Sans"/>
          <w:sz w:val="28"/>
          <w:szCs w:val="28"/>
        </w:rPr>
        <w:t xml:space="preserve">Ottobre  </w:t>
      </w:r>
      <w:r>
        <w:rPr>
          <w:rFonts w:eastAsia="Wingdings" w:cs="Wingdings" w:ascii="Wingdings" w:hAnsi="Wingdings"/>
          <w:sz w:val="28"/>
          <w:szCs w:val="28"/>
        </w:rPr>
        <w:t></w:t>
      </w:r>
      <w:r>
        <w:rPr>
          <w:rFonts w:eastAsia="Times New Roman" w:cs="Open Sans" w:ascii="Open Sans" w:hAnsi="Open Sans"/>
          <w:sz w:val="28"/>
          <w:szCs w:val="28"/>
        </w:rPr>
        <w:t xml:space="preserve">  </w:t>
      </w:r>
      <w:r>
        <w:rPr>
          <w:rFonts w:cs="Open Sans" w:ascii="Open Sans" w:hAnsi="Open Sans"/>
          <w:sz w:val="28"/>
          <w:szCs w:val="28"/>
        </w:rPr>
        <w:t xml:space="preserve">Novembre  </w:t>
      </w:r>
      <w:r>
        <w:rPr>
          <w:rFonts w:eastAsia="Wingdings" w:cs="Wingdings" w:ascii="Wingdings" w:hAnsi="Wingdings"/>
          <w:sz w:val="28"/>
          <w:szCs w:val="28"/>
        </w:rPr>
        <w:t></w:t>
      </w:r>
      <w:r>
        <w:rPr>
          <w:rFonts w:eastAsia="Times New Roman" w:cs="Open Sans" w:ascii="Open Sans" w:hAnsi="Open Sans"/>
          <w:sz w:val="28"/>
          <w:szCs w:val="28"/>
        </w:rPr>
        <w:t xml:space="preserve"> </w:t>
      </w:r>
      <w:r>
        <w:rPr>
          <w:rFonts w:cs="Open Sans" w:ascii="Open Sans" w:hAnsi="Open Sans"/>
          <w:sz w:val="28"/>
          <w:szCs w:val="28"/>
        </w:rPr>
        <w:t>Dicembre</w:t>
      </w:r>
    </w:p>
    <w:p>
      <w:pPr>
        <w:pStyle w:val="Normal"/>
        <w:numPr>
          <w:ilvl w:val="0"/>
          <w:numId w:val="0"/>
        </w:numPr>
        <w:ind w:left="57" w:hanging="0"/>
        <w:rPr>
          <w:rFonts w:ascii="Open Sans" w:hAnsi="Open Sans" w:cs="Open Sans"/>
          <w:sz w:val="28"/>
          <w:szCs w:val="28"/>
        </w:rPr>
      </w:pPr>
      <w:r>
        <w:rPr/>
      </w:r>
    </w:p>
    <w:p>
      <w:pPr>
        <w:pStyle w:val="Normal"/>
        <w:jc w:val="center"/>
        <w:rPr>
          <w:rFonts w:ascii="Open Sans" w:hAnsi="Open Sans" w:cs="Open Sans"/>
          <w:b/>
          <w:b/>
          <w:sz w:val="28"/>
          <w:szCs w:val="28"/>
        </w:rPr>
      </w:pPr>
      <w:r>
        <w:rPr>
          <w:rFonts w:cs="Open Sans" w:ascii="Open Sans" w:hAnsi="Open Sans"/>
          <w:b/>
          <w:sz w:val="28"/>
          <w:szCs w:val="28"/>
        </w:rPr>
        <w:t>D I C H I A R A</w:t>
      </w:r>
    </w:p>
    <w:p>
      <w:pPr>
        <w:pStyle w:val="Normal"/>
        <w:spacing w:before="0" w:after="120"/>
        <w:jc w:val="center"/>
        <w:rPr>
          <w:rFonts w:ascii="Open Sans" w:hAnsi="Open Sans" w:cs="Open Sans"/>
          <w:b/>
          <w:b/>
          <w:sz w:val="18"/>
          <w:szCs w:val="18"/>
        </w:rPr>
      </w:pPr>
      <w:r>
        <w:rPr>
          <w:rFonts w:cs="Open Sans" w:ascii="Open Sans" w:hAnsi="Open Sans"/>
          <w:b/>
          <w:sz w:val="18"/>
          <w:szCs w:val="18"/>
        </w:rPr>
        <w:t>Ai sensi dell’art. 47 del D.P.R. 445/2000</w:t>
      </w:r>
    </w:p>
    <w:p>
      <w:pPr>
        <w:pStyle w:val="Normal"/>
        <w:spacing w:before="0" w:after="120"/>
        <w:jc w:val="both"/>
        <w:rPr>
          <w:rFonts w:ascii="Open Sans" w:hAnsi="Open Sans" w:cs="Open Sans"/>
          <w:sz w:val="18"/>
          <w:szCs w:val="18"/>
        </w:rPr>
      </w:pPr>
      <w:r>
        <w:rPr>
          <w:rFonts w:cs="Open Sans" w:ascii="Open Sans" w:hAnsi="Open Sans"/>
          <w:sz w:val="18"/>
          <w:szCs w:val="18"/>
        </w:rPr>
        <w:t>Consapevole che le dichiarazioni mendaci, falsità negli atti e l’uso di atti falsi sono puniti, come stabilito dall’art. 76 del D.P.R. 445/2000 ai sensi del codice penale e delle leggi speciali in materia e che, ai sensi dell’art. 75 dello stesso decreto, il dichiarante decade dai benefici eventualmente conseguenti al provvedimento emanato sulla base della dichiarazione non veritiera,</w:t>
      </w:r>
    </w:p>
    <w:p>
      <w:pPr>
        <w:pStyle w:val="Normal"/>
        <w:numPr>
          <w:ilvl w:val="0"/>
          <w:numId w:val="2"/>
        </w:numPr>
        <w:spacing w:before="0" w:after="120"/>
        <w:ind w:left="714" w:hanging="357"/>
        <w:jc w:val="both"/>
        <w:rPr>
          <w:rFonts w:ascii="Open Sans" w:hAnsi="Open Sans" w:cs="Open Sans"/>
          <w:sz w:val="24"/>
          <w:szCs w:val="24"/>
        </w:rPr>
      </w:pPr>
      <w:r>
        <w:rPr>
          <w:rFonts w:cs="Open Sans" w:ascii="Open Sans" w:hAnsi="Open Sans"/>
          <w:sz w:val="24"/>
          <w:szCs w:val="24"/>
        </w:rPr>
        <w:t>Di aver preso conoscenza dei contenuti e delle disposizioni di cui al Regolamento approvato con D.C.C. di Novellara n. 31 in data 29/07/2021 che disciplina le attività del Mercato dell’antiquariato e degli Hobbisti.</w:t>
      </w:r>
    </w:p>
    <w:p>
      <w:pPr>
        <w:pStyle w:val="Normal"/>
        <w:numPr>
          <w:ilvl w:val="0"/>
          <w:numId w:val="2"/>
        </w:numPr>
        <w:spacing w:before="0" w:after="120"/>
        <w:rPr>
          <w:rFonts w:ascii="Open Sans" w:hAnsi="Open Sans" w:cs="Open Sans"/>
          <w:sz w:val="24"/>
          <w:szCs w:val="24"/>
        </w:rPr>
      </w:pPr>
      <w:r>
        <w:rPr>
          <w:rFonts w:cs="Open Sans" w:ascii="Open Sans" w:hAnsi="Open Sans"/>
          <w:sz w:val="24"/>
          <w:szCs w:val="24"/>
        </w:rPr>
        <w:t>Di essere a conoscenza delle disposizioni stabilite dall’art. 7 bis della Legge Regionale E.R. n. 12/1999 e ss.mm.ii,  in merito alla vendita da parte di operatori Hobbisti;</w:t>
      </w:r>
    </w:p>
    <w:p>
      <w:pPr>
        <w:pStyle w:val="Normal"/>
        <w:numPr>
          <w:ilvl w:val="0"/>
          <w:numId w:val="2"/>
        </w:numPr>
        <w:spacing w:before="0" w:after="120"/>
        <w:rPr>
          <w:rFonts w:ascii="Open Sans" w:hAnsi="Open Sans" w:cs="Open Sans"/>
          <w:sz w:val="24"/>
          <w:szCs w:val="24"/>
        </w:rPr>
      </w:pPr>
      <w:r>
        <w:rPr>
          <w:rFonts w:cs="Open Sans" w:ascii="Open Sans" w:hAnsi="Open Sans"/>
          <w:sz w:val="24"/>
          <w:szCs w:val="24"/>
        </w:rPr>
        <w:t>Di essere in possesso dei requisiti morali previsti dall’art. 71 del Decreto Legislativo n. 39 del 2010.</w:t>
      </w:r>
    </w:p>
    <w:p>
      <w:pPr>
        <w:pStyle w:val="Normal"/>
        <w:numPr>
          <w:ilvl w:val="0"/>
          <w:numId w:val="2"/>
        </w:numPr>
        <w:spacing w:before="0" w:after="120"/>
        <w:rPr/>
      </w:pPr>
      <w:r>
        <w:rPr>
          <w:rFonts w:cs="Open Sans" w:ascii="Open Sans" w:hAnsi="Open Sans"/>
          <w:sz w:val="24"/>
          <w:szCs w:val="24"/>
        </w:rPr>
        <w:t>Di essere in possesso di regolare e Valido Tesserino da Hobbista rilasciato dal Comune di ____________________________________ in data _____________________ e per il quale sono già state ottenute n._______________ vidimazioni.</w:t>
      </w:r>
    </w:p>
    <w:p>
      <w:pPr>
        <w:pStyle w:val="Normal"/>
        <w:numPr>
          <w:ilvl w:val="0"/>
          <w:numId w:val="2"/>
        </w:numPr>
        <w:spacing w:before="0" w:after="120"/>
        <w:jc w:val="both"/>
        <w:rPr/>
      </w:pPr>
      <w:r>
        <w:rPr>
          <w:rFonts w:cs="Open Sans" w:ascii="Open Sans" w:hAnsi="Open Sans"/>
          <w:sz w:val="24"/>
          <w:szCs w:val="24"/>
        </w:rPr>
        <w:t>Di essere a conoscenza che il mancato possesso del tesserino non consente l’accesso alla manifestazione.</w:t>
      </w:r>
    </w:p>
    <w:p>
      <w:pPr>
        <w:pStyle w:val="Normal"/>
        <w:numPr>
          <w:ilvl w:val="0"/>
          <w:numId w:val="2"/>
        </w:numPr>
        <w:spacing w:before="0" w:after="120"/>
        <w:jc w:val="both"/>
        <w:rPr>
          <w:rFonts w:ascii="Open Sans" w:hAnsi="Open Sans" w:cs="Open Sans"/>
          <w:sz w:val="24"/>
          <w:szCs w:val="24"/>
        </w:rPr>
      </w:pPr>
      <w:r>
        <w:rPr>
          <w:rFonts w:cs="Open Sans" w:ascii="Open Sans" w:hAnsi="Open Sans"/>
          <w:sz w:val="24"/>
          <w:szCs w:val="24"/>
        </w:rPr>
        <w:t>Di essere e conoscenza che la partecipazione al mercatino è soggetta al pagamento del canone unico patrimoniale che dovrà essere versato nei modi e nei tempi indicati dall’avviso di pagamento che verrà inviato tramite il sistema  Pagopa all’impresa concessionaria</w:t>
      </w:r>
      <w:r>
        <w:rPr>
          <w:rFonts w:cs="Palatino Linotype" w:ascii="Palatino Linotype" w:hAnsi="Palatino Linotype"/>
          <w:bCs/>
          <w:sz w:val="24"/>
          <w:szCs w:val="24"/>
        </w:rPr>
        <w:t>.</w:t>
      </w:r>
    </w:p>
    <w:p>
      <w:pPr>
        <w:pStyle w:val="Normal"/>
        <w:numPr>
          <w:ilvl w:val="0"/>
          <w:numId w:val="2"/>
        </w:numPr>
        <w:spacing w:before="0" w:after="120"/>
        <w:jc w:val="both"/>
        <w:rPr/>
      </w:pPr>
      <w:r>
        <w:rPr>
          <w:rFonts w:cs="Open Sans" w:ascii="Open Sans" w:hAnsi="Open Sans"/>
          <w:sz w:val="24"/>
          <w:szCs w:val="24"/>
        </w:rPr>
        <w:t>Di essere consapevole che l’inottemperanza dell’invio dell’elenco completo dei beni che si intendono vendere, barattare, proporre o esporre, è soggetta alle disposizioni e sanzioni previste dall’art.  7 bis comma 11 e 12 della L.R. 12/1999 e ss.mm.ii.</w:t>
      </w:r>
    </w:p>
    <w:p>
      <w:pPr>
        <w:pStyle w:val="Normal"/>
        <w:numPr>
          <w:ilvl w:val="0"/>
          <w:numId w:val="2"/>
        </w:numPr>
        <w:spacing w:before="0" w:after="120"/>
        <w:jc w:val="both"/>
        <w:rPr/>
      </w:pPr>
      <w:r>
        <w:rPr>
          <w:rFonts w:cs="Open Sans" w:ascii="Open Sans" w:hAnsi="Open Sans"/>
          <w:sz w:val="24"/>
          <w:szCs w:val="24"/>
        </w:rPr>
        <w:t>Di essere a conoscenza e di rispettare orari stabiliti dal Sindaco del Comune di Novellara con atto 82 del 29/09/2021 relativamente alle modalità di carico/scarico/vendita.</w:t>
      </w:r>
    </w:p>
    <w:p>
      <w:pPr>
        <w:pStyle w:val="Normal"/>
        <w:spacing w:before="0" w:after="120"/>
        <w:ind w:left="720" w:hanging="0"/>
        <w:jc w:val="center"/>
        <w:rPr>
          <w:rFonts w:ascii="Open Sans" w:hAnsi="Open Sans" w:cs="Open Sans"/>
          <w:b/>
          <w:b/>
          <w:sz w:val="28"/>
          <w:szCs w:val="28"/>
        </w:rPr>
      </w:pPr>
      <w:r>
        <w:rPr>
          <w:rFonts w:cs="Open Sans" w:ascii="Open Sans" w:hAnsi="Open Sans"/>
          <w:b/>
          <w:sz w:val="28"/>
          <w:szCs w:val="28"/>
        </w:rPr>
        <w:t>SI IMPEGNA</w:t>
      </w:r>
    </w:p>
    <w:p>
      <w:pPr>
        <w:pStyle w:val="Normal"/>
        <w:numPr>
          <w:ilvl w:val="0"/>
          <w:numId w:val="2"/>
        </w:numPr>
        <w:spacing w:before="0" w:after="120"/>
        <w:jc w:val="both"/>
        <w:rPr>
          <w:rFonts w:ascii="Open Sans" w:hAnsi="Open Sans" w:cs="Open Sans"/>
          <w:sz w:val="24"/>
          <w:szCs w:val="24"/>
        </w:rPr>
      </w:pPr>
      <w:r>
        <w:rPr>
          <w:rFonts w:cs="Open Sans" w:ascii="Open Sans" w:hAnsi="Open Sans"/>
          <w:sz w:val="24"/>
          <w:szCs w:val="24"/>
        </w:rPr>
        <w:t>Ad essere presente al mercatino nei giorni sopra indicati munito di tesserino da Hobbista in originale, pena il mancato accesso alla manifestazione.</w:t>
      </w:r>
    </w:p>
    <w:p>
      <w:pPr>
        <w:pStyle w:val="Normal"/>
        <w:numPr>
          <w:ilvl w:val="0"/>
          <w:numId w:val="2"/>
        </w:numPr>
        <w:spacing w:before="0" w:after="120"/>
        <w:jc w:val="both"/>
        <w:rPr>
          <w:rFonts w:ascii="Open Sans" w:hAnsi="Open Sans" w:cs="Open Sans"/>
          <w:sz w:val="24"/>
          <w:szCs w:val="24"/>
        </w:rPr>
      </w:pPr>
      <w:r>
        <w:rPr>
          <w:rFonts w:cs="Open Sans" w:ascii="Open Sans" w:hAnsi="Open Sans"/>
          <w:sz w:val="24"/>
          <w:szCs w:val="24"/>
        </w:rPr>
        <w:t>A rispettare le condizioni previste dalle norme del Comune di Novellara.</w:t>
      </w:r>
    </w:p>
    <w:p>
      <w:pPr>
        <w:pStyle w:val="Normal"/>
        <w:numPr>
          <w:ilvl w:val="0"/>
          <w:numId w:val="2"/>
        </w:numPr>
        <w:spacing w:before="0" w:after="120"/>
        <w:jc w:val="both"/>
        <w:rPr>
          <w:rFonts w:ascii="Open Sans" w:hAnsi="Open Sans" w:cs="Open Sans"/>
          <w:sz w:val="24"/>
          <w:szCs w:val="24"/>
        </w:rPr>
      </w:pPr>
      <w:r>
        <w:rPr>
          <w:rFonts w:cs="Open Sans" w:ascii="Open Sans" w:hAnsi="Open Sans"/>
          <w:sz w:val="24"/>
          <w:szCs w:val="24"/>
        </w:rPr>
        <w:t>Ad osservare le disposizioni di Legge in vigore in merito alle misure di contenimento del contagio Covid-19.</w:t>
      </w:r>
    </w:p>
    <w:p>
      <w:pPr>
        <w:pStyle w:val="Normal"/>
        <w:numPr>
          <w:ilvl w:val="0"/>
          <w:numId w:val="2"/>
        </w:numPr>
        <w:spacing w:before="0" w:after="120"/>
        <w:jc w:val="both"/>
        <w:rPr/>
      </w:pPr>
      <w:r>
        <w:rPr>
          <w:rFonts w:cs="Open Sans" w:ascii="Open Sans" w:hAnsi="Open Sans"/>
          <w:sz w:val="24"/>
          <w:szCs w:val="24"/>
        </w:rPr>
        <w:t xml:space="preserve">A vendere, barattare, proporre o esporre gli </w:t>
      </w:r>
      <w:r>
        <w:rPr>
          <w:rFonts w:cs="Open Sans" w:ascii="Open Sans" w:hAnsi="Open Sans"/>
          <w:i/>
          <w:sz w:val="24"/>
          <w:szCs w:val="24"/>
          <w:u w:val="single"/>
        </w:rPr>
        <w:t>articoli consentiti</w:t>
      </w:r>
      <w:r>
        <w:rPr>
          <w:rFonts w:cs="Open Sans" w:ascii="Open Sans" w:hAnsi="Open Sans"/>
          <w:sz w:val="24"/>
          <w:szCs w:val="24"/>
        </w:rPr>
        <w:t xml:space="preserve"> dal Comune di Novellara come indicato nel regolamento comunale della manifestazione.</w:t>
      </w:r>
    </w:p>
    <w:p>
      <w:pPr>
        <w:pStyle w:val="Normal"/>
        <w:numPr>
          <w:ilvl w:val="0"/>
          <w:numId w:val="2"/>
        </w:numPr>
        <w:spacing w:before="0" w:after="120"/>
        <w:jc w:val="both"/>
        <w:rPr>
          <w:rFonts w:ascii="Open Sans" w:hAnsi="Open Sans" w:cs="Open Sans"/>
          <w:sz w:val="24"/>
          <w:szCs w:val="24"/>
        </w:rPr>
      </w:pPr>
      <w:r>
        <w:rPr>
          <w:rFonts w:cs="Open Sans" w:ascii="Open Sans" w:hAnsi="Open Sans"/>
          <w:sz w:val="24"/>
          <w:szCs w:val="24"/>
        </w:rPr>
        <w:t xml:space="preserve">A non vendere, non barattare, non proporre o non esporre gli </w:t>
      </w:r>
      <w:r>
        <w:rPr>
          <w:rFonts w:cs="Open Sans" w:ascii="Open Sans" w:hAnsi="Open Sans"/>
          <w:i/>
          <w:sz w:val="24"/>
          <w:szCs w:val="24"/>
          <w:u w:val="single"/>
        </w:rPr>
        <w:t xml:space="preserve">articoli non  consentiti </w:t>
      </w:r>
      <w:r>
        <w:rPr>
          <w:rFonts w:cs="Open Sans" w:ascii="Open Sans" w:hAnsi="Open Sans"/>
          <w:sz w:val="24"/>
          <w:szCs w:val="24"/>
        </w:rPr>
        <w:t>dal Comune di Novellara come indicato nel regolamento comunale della manifestazione</w:t>
      </w:r>
    </w:p>
    <w:p>
      <w:pPr>
        <w:pStyle w:val="Normal"/>
        <w:spacing w:before="0" w:after="120"/>
        <w:jc w:val="both"/>
        <w:rPr>
          <w:rFonts w:ascii="Open Sans" w:hAnsi="Open Sans" w:cs="Open Sans"/>
          <w:sz w:val="24"/>
          <w:szCs w:val="24"/>
        </w:rPr>
      </w:pPr>
      <w:r>
        <w:rPr>
          <w:rFonts w:cs="Open Sans" w:ascii="Open Sans" w:hAnsi="Open Sans"/>
          <w:sz w:val="24"/>
          <w:szCs w:val="24"/>
        </w:rPr>
      </w:r>
    </w:p>
    <w:p>
      <w:pPr>
        <w:pStyle w:val="Normal"/>
        <w:spacing w:before="0" w:after="120"/>
        <w:ind w:left="720" w:hanging="0"/>
        <w:rPr>
          <w:rFonts w:ascii="Open Sans" w:hAnsi="Open Sans" w:cs="Open Sans"/>
          <w:b/>
          <w:b/>
          <w:sz w:val="28"/>
          <w:szCs w:val="28"/>
        </w:rPr>
      </w:pPr>
      <w:r>
        <w:rPr>
          <w:rFonts w:cs="Open Sans" w:ascii="Open Sans" w:hAnsi="Open Sans"/>
          <w:b/>
          <w:sz w:val="28"/>
          <w:szCs w:val="28"/>
        </w:rPr>
        <w:t>Documenti da ALLEGARE</w:t>
      </w:r>
    </w:p>
    <w:p>
      <w:pPr>
        <w:pStyle w:val="Normal"/>
        <w:numPr>
          <w:ilvl w:val="0"/>
          <w:numId w:val="2"/>
        </w:numPr>
        <w:spacing w:before="0" w:after="120"/>
        <w:jc w:val="both"/>
        <w:rPr/>
      </w:pPr>
      <w:r>
        <w:rPr>
          <w:rFonts w:cs="Open Sans" w:ascii="Open Sans" w:hAnsi="Open Sans"/>
          <w:sz w:val="24"/>
          <w:szCs w:val="24"/>
        </w:rPr>
        <w:t>Fotocopia del documento di identità in corso di validità.</w:t>
      </w:r>
    </w:p>
    <w:p>
      <w:pPr>
        <w:pStyle w:val="Normal"/>
        <w:numPr>
          <w:ilvl w:val="0"/>
          <w:numId w:val="2"/>
        </w:numPr>
        <w:spacing w:before="0" w:after="120"/>
        <w:jc w:val="both"/>
        <w:rPr/>
      </w:pPr>
      <w:r>
        <w:rPr>
          <w:rFonts w:cs="Open Sans" w:ascii="Open Sans" w:hAnsi="Open Sans"/>
          <w:b/>
          <w:sz w:val="24"/>
          <w:szCs w:val="24"/>
        </w:rPr>
        <w:t>(</w:t>
      </w:r>
      <w:r>
        <w:rPr>
          <w:rFonts w:cs="Open Sans" w:ascii="Open Sans" w:hAnsi="Open Sans"/>
          <w:sz w:val="24"/>
          <w:szCs w:val="24"/>
        </w:rPr>
        <w:t>per i cittadini extracomunitari): copia del permesso di soggiorno in corso di validità.</w:t>
      </w:r>
    </w:p>
    <w:p>
      <w:pPr>
        <w:pStyle w:val="Normal"/>
        <w:numPr>
          <w:ilvl w:val="0"/>
          <w:numId w:val="2"/>
        </w:numPr>
        <w:spacing w:before="0" w:after="360"/>
        <w:ind w:left="714" w:hanging="357"/>
        <w:jc w:val="both"/>
        <w:rPr>
          <w:rFonts w:ascii="Open Sans" w:hAnsi="Open Sans" w:cs="Open Sans"/>
          <w:sz w:val="24"/>
          <w:szCs w:val="24"/>
        </w:rPr>
      </w:pPr>
      <w:r>
        <w:rPr>
          <w:rFonts w:cs="Open Sans" w:ascii="Open Sans" w:hAnsi="Open Sans"/>
          <w:sz w:val="24"/>
          <w:szCs w:val="24"/>
        </w:rPr>
        <w:t>Elenco completo dei beni che si intendono vendere, barattare, proporre o esporre</w:t>
      </w:r>
    </w:p>
    <w:p>
      <w:pPr>
        <w:pStyle w:val="ListParagraph"/>
        <w:spacing w:before="0" w:after="0"/>
        <w:ind w:left="0" w:hanging="0"/>
        <w:contextualSpacing/>
        <w:jc w:val="both"/>
        <w:rPr>
          <w:rFonts w:ascii="Open Sans" w:hAnsi="Open Sans" w:cs="Open Sans"/>
          <w:b/>
          <w:b/>
          <w:bCs/>
          <w:sz w:val="20"/>
          <w:szCs w:val="20"/>
          <w:u w:val="single"/>
        </w:rPr>
      </w:pPr>
      <w:r>
        <w:rPr>
          <w:rFonts w:cs="Open Sans" w:ascii="Open Sans" w:hAnsi="Open Sans"/>
          <w:b/>
          <w:bCs/>
          <w:sz w:val="20"/>
          <w:szCs w:val="20"/>
          <w:u w:val="single"/>
        </w:rPr>
        <w:t>CONTENUTI SUL TRATTAMENTO DI DATI PERSONALI</w:t>
      </w:r>
    </w:p>
    <w:p>
      <w:pPr>
        <w:pStyle w:val="Normal"/>
        <w:spacing w:before="0" w:after="120"/>
        <w:jc w:val="both"/>
        <w:rPr/>
      </w:pPr>
      <w:r>
        <w:rPr>
          <w:rFonts w:cs="Open Sans" w:ascii="Open Sans" w:hAnsi="Open Sans"/>
          <w:color w:val="FF0000"/>
        </w:rPr>
        <w:tab/>
      </w:r>
      <w:r>
        <w:rPr>
          <w:rFonts w:cs="Open Sans" w:ascii="Open Sans" w:hAnsi="Open Sans"/>
        </w:rPr>
        <w:tab/>
        <w:t>Ai sensi del GDPR 2016/679/UE e del D.Lgs. n. 196/2003 si precisa che i dati personali forniti e quelli che eventualmente fornirà anche successivamente al Comune di Novellara saranno oggetto di trattamento esclusivamente per le finalità del presente avviso e per scopi istituzionali nel rispetto delle norme europee e nazionali vigenti in materia.</w:t>
      </w:r>
    </w:p>
    <w:p>
      <w:pPr>
        <w:pStyle w:val="Normal"/>
        <w:spacing w:before="0" w:after="120"/>
        <w:jc w:val="both"/>
        <w:rPr>
          <w:rFonts w:ascii="Open Sans" w:hAnsi="Open Sans" w:cs="Open Sans"/>
        </w:rPr>
      </w:pPr>
      <w:r>
        <w:rPr>
          <w:rFonts w:cs="Open Sans" w:ascii="Open Sans" w:hAnsi="Open Sans"/>
        </w:rPr>
        <w:tab/>
        <w:t>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pPr>
        <w:pStyle w:val="Normal"/>
        <w:spacing w:before="0" w:after="120"/>
        <w:jc w:val="both"/>
        <w:rPr>
          <w:rFonts w:ascii="Open Sans" w:hAnsi="Open Sans" w:cs="Open Sans"/>
        </w:rPr>
      </w:pPr>
      <w:r>
        <w:rPr>
          <w:rFonts w:cs="Open Sans" w:ascii="Open Sans" w:hAnsi="Open Sans"/>
        </w:rPr>
        <w:tab/>
        <w:t>Il titolare del trattamento dati è il Comune di Novellara (RE) con sede legale in Piazzale Marconi n. 1.</w:t>
      </w:r>
    </w:p>
    <w:p>
      <w:pPr>
        <w:pStyle w:val="Normal"/>
        <w:spacing w:before="0" w:after="120"/>
        <w:jc w:val="both"/>
        <w:rPr>
          <w:rFonts w:ascii="Open Sans" w:hAnsi="Open Sans" w:cs="Open Sans"/>
        </w:rPr>
      </w:pPr>
      <w:r>
        <w:rPr>
          <w:rFonts w:cs="Open Sans" w:ascii="Open Sans" w:hAnsi="Open Sans"/>
        </w:rPr>
        <w:tab/>
        <w:t>Il DPO (Responsabile della Protezione dei dati), a cui è possibile rivolgersi per esercitare i diritti di cui all’art. 13 del GDPR e/o per eventuali chiarimenti in materia di tutela dati personali, è: “</w:t>
      </w:r>
      <w:r>
        <w:rPr>
          <w:rFonts w:cs="Open Sans" w:ascii="Open Sans" w:hAnsi="Open Sans"/>
          <w:i/>
          <w:iCs/>
        </w:rPr>
        <w:t xml:space="preserve">Avv. Cora' Nadia - Indirizzo postale: Via San Martino 8/B - 46049 Volta Mantovana (MN) - Telefono: </w:t>
      </w:r>
      <w:hyperlink r:id="rId4">
        <w:r>
          <w:rPr>
            <w:rStyle w:val="CollegamentoInternet"/>
            <w:rFonts w:cs="Open Sans" w:ascii="Open Sans" w:hAnsi="Open Sans"/>
            <w:i/>
            <w:iCs/>
          </w:rPr>
          <w:t>0376-803074 - 0376</w:t>
        </w:r>
      </w:hyperlink>
      <w:r>
        <w:rPr>
          <w:rFonts w:cs="Open Sans" w:ascii="Open Sans" w:hAnsi="Open Sans"/>
          <w:i/>
          <w:iCs/>
        </w:rPr>
        <w:t>-801249 E-mail:</w:t>
      </w:r>
      <w:hyperlink r:id="rId5" w:tgtFrame="_blank">
        <w:r>
          <w:rPr>
            <w:rStyle w:val="CollegamentoInternet"/>
            <w:rFonts w:cs="Open Sans" w:ascii="Open Sans" w:hAnsi="Open Sans"/>
            <w:i/>
            <w:iCs/>
          </w:rPr>
          <w:t>consulenza@entionline.it</w:t>
        </w:r>
      </w:hyperlink>
      <w:r>
        <w:rPr>
          <w:rFonts w:cs="Open Sans" w:ascii="Open Sans" w:hAnsi="Open Sans"/>
          <w:i/>
          <w:iCs/>
        </w:rPr>
        <w:t>- PEC:</w:t>
      </w:r>
      <w:hyperlink r:id="rId6" w:tgtFrame="_blank">
        <w:r>
          <w:rPr>
            <w:rStyle w:val="CollegamentoInternet"/>
            <w:rFonts w:cs="Open Sans" w:ascii="Open Sans" w:hAnsi="Open Sans"/>
            <w:i/>
            <w:iCs/>
          </w:rPr>
          <w:t>nadia.cora@mantova.pecavvocati.it</w:t>
        </w:r>
      </w:hyperlink>
      <w:r>
        <w:rPr>
          <w:rFonts w:cs="Open Sans" w:ascii="Open Sans" w:hAnsi="Open Sans"/>
          <w:i/>
          <w:iCs/>
        </w:rPr>
        <w:t>.</w:t>
      </w:r>
    </w:p>
    <w:p>
      <w:pPr>
        <w:pStyle w:val="Normal"/>
        <w:spacing w:before="0" w:after="120"/>
        <w:jc w:val="both"/>
        <w:rPr>
          <w:rFonts w:ascii="Open Sans" w:hAnsi="Open Sans" w:cs="Open Sans"/>
        </w:rPr>
      </w:pPr>
      <w:r>
        <w:rPr>
          <w:rFonts w:cs="Open Sans" w:ascii="Open Sans" w:hAnsi="Open Sans"/>
        </w:rPr>
        <w:tab/>
        <w:t>Il consenso del trattamento ai fini istituzionali è necessario ed obbligatorio per le finalità stesse.</w:t>
      </w:r>
    </w:p>
    <w:p>
      <w:pPr>
        <w:pStyle w:val="Normal"/>
        <w:spacing w:before="0" w:after="240"/>
        <w:jc w:val="both"/>
        <w:rPr>
          <w:rFonts w:ascii="Open Sans" w:hAnsi="Open Sans" w:cs="Open Sans"/>
        </w:rPr>
      </w:pPr>
      <w:r>
        <w:rPr>
          <w:rFonts w:cs="Open Sans" w:ascii="Open Sans" w:hAnsi="Open Sans"/>
        </w:rPr>
        <w:tab/>
        <w:t>I dati personali verranno conservati per un arco di tempo non superiore al conseguimento delle finalità per le quali i dati personali sono trattati (finalità istituzionali e non commerciali).</w:t>
      </w:r>
    </w:p>
    <w:p>
      <w:pPr>
        <w:pStyle w:val="ListParagraph"/>
        <w:spacing w:before="0" w:after="0"/>
        <w:ind w:left="0" w:hanging="0"/>
        <w:contextualSpacing/>
        <w:jc w:val="center"/>
        <w:rPr>
          <w:rFonts w:ascii="Open Sans" w:hAnsi="Open Sans" w:cs="Open Sans"/>
          <w:b/>
          <w:b/>
          <w:bCs/>
          <w:sz w:val="20"/>
          <w:szCs w:val="20"/>
          <w:u w:val="single"/>
        </w:rPr>
      </w:pPr>
      <w:r>
        <w:rPr>
          <w:rFonts w:cs="Open Sans" w:ascii="Open Sans" w:hAnsi="Open Sans"/>
          <w:b/>
          <w:bCs/>
          <w:sz w:val="20"/>
          <w:szCs w:val="20"/>
          <w:u w:val="single"/>
        </w:rPr>
        <w:t>NOTE INFORMATIVE PER LA COMPILAZIONE</w:t>
      </w:r>
    </w:p>
    <w:p>
      <w:pPr>
        <w:pStyle w:val="NormalWeb"/>
        <w:shd w:val="clear" w:color="auto" w:fill="FFFFFF"/>
        <w:spacing w:before="0" w:after="0"/>
        <w:rPr>
          <w:rFonts w:ascii="Arial" w:hAnsi="Arial" w:cs="Arial"/>
          <w:sz w:val="22"/>
          <w:szCs w:val="22"/>
        </w:rPr>
      </w:pPr>
      <w:r>
        <w:rPr>
          <w:rStyle w:val="Enfasiforte"/>
          <w:rFonts w:cs="Arial" w:ascii="Arial" w:hAnsi="Arial"/>
          <w:sz w:val="22"/>
          <w:szCs w:val="22"/>
        </w:rPr>
        <w:t>Art. 71 (Requisiti di accesso e di esercizio delle attività commerciali)</w:t>
      </w:r>
    </w:p>
    <w:p>
      <w:pPr>
        <w:pStyle w:val="NormalWeb"/>
        <w:shd w:val="clear" w:color="auto" w:fill="FFFFFF"/>
        <w:spacing w:before="0" w:after="0"/>
        <w:jc w:val="both"/>
        <w:rPr/>
      </w:pPr>
      <w:r>
        <w:rPr>
          <w:rFonts w:cs="Open Sans" w:ascii="Open Sans" w:hAnsi="Open Sans"/>
          <w:b/>
          <w:color w:val="434343"/>
          <w:sz w:val="22"/>
          <w:szCs w:val="22"/>
          <w:u w:val="single"/>
        </w:rPr>
        <w:t>1.</w:t>
      </w:r>
      <w:r>
        <w:rPr>
          <w:rFonts w:cs="Open Sans" w:ascii="Open Sans" w:hAnsi="Open Sans"/>
          <w:color w:val="434343"/>
          <w:sz w:val="20"/>
          <w:szCs w:val="20"/>
        </w:rPr>
        <w:t>Non possono esercitare l’attività commerciale di vendita e di somministrazione:</w:t>
      </w:r>
    </w:p>
    <w:p>
      <w:pPr>
        <w:pStyle w:val="NormalWeb"/>
        <w:shd w:val="clear" w:color="auto" w:fill="FFFFFF"/>
        <w:spacing w:before="0" w:after="0"/>
        <w:jc w:val="both"/>
        <w:rPr>
          <w:rFonts w:ascii="Open Sans" w:hAnsi="Open Sans" w:cs="Open Sans"/>
          <w:color w:val="434343"/>
          <w:sz w:val="20"/>
          <w:szCs w:val="20"/>
        </w:rPr>
      </w:pPr>
      <w:r>
        <w:rPr>
          <w:rFonts w:cs="Open Sans" w:ascii="Open Sans" w:hAnsi="Open Sans"/>
          <w:color w:val="434343"/>
          <w:sz w:val="20"/>
          <w:szCs w:val="20"/>
        </w:rPr>
        <w:t>a) coloro che sono stati dichiarati delinquenti abituali, professionali o per tendenza, salvo che abbiano ottenuto la riabilitazione;</w:t>
      </w:r>
    </w:p>
    <w:p>
      <w:pPr>
        <w:pStyle w:val="NormalWeb"/>
        <w:shd w:val="clear" w:color="auto" w:fill="FFFFFF"/>
        <w:spacing w:before="0" w:after="0"/>
        <w:jc w:val="both"/>
        <w:rPr>
          <w:rFonts w:ascii="Open Sans" w:hAnsi="Open Sans" w:cs="Open Sans"/>
          <w:color w:val="434343"/>
          <w:sz w:val="20"/>
          <w:szCs w:val="20"/>
        </w:rPr>
      </w:pPr>
      <w:r>
        <w:rPr>
          <w:rFonts w:cs="Open Sans" w:ascii="Open Sans" w:hAnsi="Open Sans"/>
          <w:color w:val="434343"/>
          <w:sz w:val="20"/>
          <w:szCs w:val="20"/>
        </w:rPr>
        <w:t>b) coloro che hanno riportato una condanna, con sentenza passata in giudicato, per delitto non colposo, per il quale e' prevista una pena detentiva non inferiore nel minimo a tre anni, sempre che sia stata applicata, in concreto, una pena superiore al minimo edittale;</w:t>
      </w:r>
    </w:p>
    <w:p>
      <w:pPr>
        <w:pStyle w:val="NormalWeb"/>
        <w:shd w:val="clear" w:color="auto" w:fill="FFFFFF"/>
        <w:spacing w:before="0" w:after="0"/>
        <w:jc w:val="both"/>
        <w:rPr>
          <w:rFonts w:ascii="Open Sans" w:hAnsi="Open Sans" w:cs="Open Sans"/>
          <w:color w:val="434343"/>
          <w:sz w:val="20"/>
          <w:szCs w:val="20"/>
        </w:rPr>
      </w:pPr>
      <w:r>
        <w:rPr>
          <w:rFonts w:cs="Open Sans" w:ascii="Open Sans" w:hAnsi="Open Sans"/>
          <w:color w:val="434343"/>
          <w:sz w:val="20"/>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pPr>
        <w:pStyle w:val="NormalWeb"/>
        <w:shd w:val="clear" w:color="auto" w:fill="FFFFFF"/>
        <w:spacing w:before="0" w:after="0"/>
        <w:jc w:val="both"/>
        <w:rPr>
          <w:rFonts w:ascii="Open Sans" w:hAnsi="Open Sans" w:cs="Open Sans"/>
          <w:color w:val="434343"/>
          <w:sz w:val="20"/>
          <w:szCs w:val="20"/>
        </w:rPr>
      </w:pPr>
      <w:r>
        <w:rPr>
          <w:rFonts w:cs="Open Sans" w:ascii="Open Sans" w:hAnsi="Open Sans"/>
          <w:color w:val="434343"/>
          <w:sz w:val="20"/>
          <w:szCs w:val="20"/>
        </w:rPr>
        <w:t>d) coloro che hanno riportato, con sentenza passata in giudicato, una condanna per reati contro l'igiene e la sanita' pubblica, compresi i delitti di cui al libro II, Titolo VI, capo II del codice penale;</w:t>
      </w:r>
    </w:p>
    <w:p>
      <w:pPr>
        <w:pStyle w:val="NormalWeb"/>
        <w:shd w:val="clear" w:color="auto" w:fill="FFFFFF"/>
        <w:spacing w:before="0" w:after="0"/>
        <w:jc w:val="both"/>
        <w:rPr>
          <w:rFonts w:ascii="Open Sans" w:hAnsi="Open Sans" w:cs="Open Sans"/>
          <w:color w:val="434343"/>
          <w:sz w:val="20"/>
          <w:szCs w:val="20"/>
        </w:rPr>
      </w:pPr>
      <w:r>
        <w:rPr>
          <w:rFonts w:cs="Open Sans" w:ascii="Open Sans" w:hAnsi="Open Sans"/>
          <w:color w:val="434343"/>
          <w:sz w:val="20"/>
          <w:szCs w:val="20"/>
        </w:rPr>
        <w:t>e) coloro che hanno riportato, con sentenza passata in giudicato, due o piu' condanne, nel quinquennio precedente all'inizio dell'esercizio dell'attivita', per delitti di frode nella preparazione e nel commercio degli alimenti previsti da leggi speciali;</w:t>
      </w:r>
    </w:p>
    <w:p>
      <w:pPr>
        <w:pStyle w:val="NormalWeb"/>
        <w:shd w:val="clear" w:color="auto" w:fill="FFFFFF"/>
        <w:spacing w:before="0" w:after="0"/>
        <w:jc w:val="both"/>
        <w:rPr/>
      </w:pPr>
      <w:r>
        <w:rPr>
          <w:rFonts w:cs="Open Sans" w:ascii="Open Sans" w:hAnsi="Open Sans"/>
          <w:color w:val="434343"/>
          <w:sz w:val="20"/>
          <w:szCs w:val="20"/>
        </w:rPr>
        <w:t xml:space="preserve">f) coloro che sono sottoposti a una delle misure di prevenzione di cui alla </w:t>
      </w:r>
      <w:hyperlink r:id="rId7">
        <w:r>
          <w:rPr>
            <w:rStyle w:val="CollegamentoInternet"/>
            <w:rFonts w:cs="Open Sans" w:ascii="Open Sans" w:hAnsi="Open Sans"/>
            <w:color w:val="AE1B13"/>
            <w:sz w:val="20"/>
            <w:szCs w:val="20"/>
          </w:rPr>
          <w:t>legge 27 dicembre 1956, n. 1423</w:t>
        </w:r>
      </w:hyperlink>
      <w:r>
        <w:rPr>
          <w:rFonts w:cs="Open Sans" w:ascii="Open Sans" w:hAnsi="Open Sans"/>
          <w:color w:val="434343"/>
          <w:sz w:val="20"/>
          <w:szCs w:val="20"/>
        </w:rPr>
        <w:t>, o nei cui confronti sia stata applicata una delle misure previste dalla </w:t>
      </w:r>
      <w:hyperlink r:id="rId8">
        <w:r>
          <w:rPr>
            <w:rStyle w:val="CollegamentoInternet"/>
            <w:rFonts w:cs="Open Sans" w:ascii="Open Sans" w:hAnsi="Open Sans"/>
            <w:color w:val="AE1B13"/>
            <w:sz w:val="20"/>
            <w:szCs w:val="20"/>
          </w:rPr>
          <w:t>legge 31 maggio 1965, n. 575</w:t>
        </w:r>
      </w:hyperlink>
      <w:r>
        <w:rPr>
          <w:rFonts w:cs="Open Sans" w:ascii="Open Sans" w:hAnsi="Open Sans"/>
          <w:color w:val="434343"/>
          <w:sz w:val="20"/>
          <w:szCs w:val="20"/>
        </w:rPr>
        <w:t>, ovvero a misure di sicurezza.</w:t>
      </w:r>
    </w:p>
    <w:p>
      <w:pPr>
        <w:pStyle w:val="NormalWeb"/>
        <w:shd w:val="clear" w:color="auto" w:fill="FFFFFF"/>
        <w:spacing w:before="0" w:after="0"/>
        <w:jc w:val="both"/>
        <w:rPr/>
      </w:pPr>
      <w:r>
        <w:rPr>
          <w:rFonts w:cs="Open Sans" w:ascii="Open Sans" w:hAnsi="Open Sans"/>
          <w:b/>
          <w:color w:val="434343"/>
          <w:sz w:val="20"/>
          <w:szCs w:val="20"/>
          <w:u w:val="single"/>
        </w:rPr>
        <w:t>2.</w:t>
      </w:r>
      <w:r>
        <w:rPr>
          <w:rFonts w:cs="Open Sans" w:ascii="Open Sans" w:hAnsi="Open Sans"/>
          <w:color w:val="434343"/>
          <w:sz w:val="20"/>
          <w:szCs w:val="20"/>
        </w:rPr>
        <w:t xml:space="preserve"> Non possono esercitare l'attivita' di somministrazione di alimenti e bevande coloro che si trovano nelle condizioni di cui al comma 1, o hanno riportato, con sentenza passata in giudicato, una condanna per reati contro la moralita' pubblica e il buon costume, per delitti commessi in stato di ubriachezza o in stato di intossicazione da stupefacenti; per reati concernenti la prevenzione dell'alcolismo, le sostanze stupefacenti o psicotrope, il gioco d'azzardo, le scommesse clandestine, nonche' per reati relativi ad infrazioni alle norme sui giochi.</w:t>
      </w:r>
    </w:p>
    <w:p>
      <w:pPr>
        <w:pStyle w:val="NormalWeb"/>
        <w:shd w:val="clear" w:color="auto" w:fill="FFFFFF"/>
        <w:spacing w:before="0" w:after="0"/>
        <w:jc w:val="both"/>
        <w:rPr/>
      </w:pPr>
      <w:r>
        <w:rPr>
          <w:rFonts w:cs="Open Sans" w:ascii="Open Sans" w:hAnsi="Open Sans"/>
          <w:b/>
          <w:color w:val="434343"/>
          <w:sz w:val="20"/>
          <w:szCs w:val="20"/>
          <w:u w:val="single"/>
        </w:rPr>
        <w:t>3.</w:t>
      </w:r>
      <w:r>
        <w:rPr>
          <w:rFonts w:cs="Open Sans" w:ascii="Open Sans" w:hAnsi="Open Sans"/>
          <w:color w:val="434343"/>
          <w:sz w:val="20"/>
          <w:szCs w:val="20"/>
        </w:rPr>
        <w:t xml:space="preserve"> Il divieto di esercizio dell'attivita', ai sensi del comma 1, lettere b), c), d), e) ed f), e ai sensi del comma 2, permane per la durata di cinque anni a decorrere dal giorno in cui la pena e' stata scontata. Qualora la pena si sia estinta in altro modo, il termine di cinque anni decorre dal giorno del passaggio in giudicato della sentenza, salvo riabilitazione.</w:t>
      </w:r>
    </w:p>
    <w:p>
      <w:pPr>
        <w:pStyle w:val="NormalWeb"/>
        <w:shd w:val="clear" w:color="auto" w:fill="FFFFFF"/>
        <w:spacing w:before="0" w:after="0"/>
        <w:jc w:val="both"/>
        <w:rPr/>
      </w:pPr>
      <w:r>
        <w:rPr>
          <w:rFonts w:cs="Open Sans" w:ascii="Open Sans" w:hAnsi="Open Sans"/>
          <w:b/>
          <w:color w:val="434343"/>
          <w:sz w:val="20"/>
          <w:szCs w:val="20"/>
          <w:u w:val="single"/>
        </w:rPr>
        <w:t>4.</w:t>
      </w:r>
      <w:r>
        <w:rPr>
          <w:rFonts w:cs="Open Sans" w:ascii="Open Sans" w:hAnsi="Open Sans"/>
          <w:color w:val="434343"/>
          <w:sz w:val="20"/>
          <w:szCs w:val="20"/>
        </w:rPr>
        <w:t xml:space="preserve"> Il divieto di' esercizio dell'attivita' non si applica qualora, con sentenza passata in giudicato sia stata concessa la sospensione condizionale della pena sempre che non intervengano circostanze idonee a incidere sulla revoca della sospensione.</w:t>
      </w:r>
    </w:p>
    <w:p>
      <w:pPr>
        <w:pStyle w:val="NormalWeb"/>
        <w:shd w:val="clear" w:color="auto" w:fill="FFFFFF"/>
        <w:spacing w:before="0" w:after="0"/>
        <w:jc w:val="both"/>
        <w:rPr>
          <w:rFonts w:ascii="Open Sans" w:hAnsi="Open Sans" w:cs="Open Sans"/>
          <w:color w:val="434343"/>
          <w:sz w:val="20"/>
          <w:szCs w:val="20"/>
        </w:rPr>
      </w:pPr>
      <w:r>
        <w:rPr>
          <w:rFonts w:cs="Open Sans" w:ascii="Open Sans" w:hAnsi="Open Sans"/>
          <w:b/>
          <w:color w:val="434343"/>
          <w:sz w:val="20"/>
          <w:szCs w:val="20"/>
          <w:u w:val="single"/>
        </w:rPr>
        <w:t>5.</w:t>
      </w:r>
      <w:r>
        <w:rPr>
          <w:rFonts w:cs="Open Sans" w:ascii="Open Sans" w:hAnsi="Open Sans"/>
          <w:color w:val="434343"/>
          <w:sz w:val="20"/>
          <w:szCs w:val="20"/>
        </w:rPr>
        <w:t xml:space="preserve"> In caso di societa', associazioni od organismi collettivi i requisiti morali di cui ai commi 1 e 2 devono essere posseduti dal legale rappresentante, da altra persona preposta all'attivita' commerciale e da tutti i soggetti individuati dall'</w:t>
      </w:r>
      <w:hyperlink r:id="rId9">
        <w:r>
          <w:rPr>
            <w:rStyle w:val="CollegamentoInternet"/>
            <w:rFonts w:cs="Open Sans" w:ascii="Open Sans" w:hAnsi="Open Sans"/>
            <w:color w:val="AE1B13"/>
            <w:sz w:val="20"/>
            <w:szCs w:val="20"/>
          </w:rPr>
          <w:t>articolo 2, comma 3, del decreto del Presidente della Repubblica 3 giugno 1998, n. 252</w:t>
        </w:r>
      </w:hyperlink>
      <w:r>
        <w:rPr>
          <w:rFonts w:cs="Open Sans" w:ascii="Open Sans" w:hAnsi="Open Sans"/>
          <w:color w:val="434343"/>
          <w:sz w:val="20"/>
          <w:szCs w:val="20"/>
        </w:rPr>
        <w:t>. In caso di impresa individuale i requisiti di cui ai commi 1 e 2 devono essere posseduti dal titolare e dall'eventuale altra persona preposta all’attività commerciale.</w:t>
      </w:r>
    </w:p>
    <w:p>
      <w:pPr>
        <w:pStyle w:val="NormalWeb"/>
        <w:shd w:val="clear" w:color="auto" w:fill="FFFFFF"/>
        <w:spacing w:before="0" w:after="0"/>
        <w:rPr>
          <w:rStyle w:val="Enfasiforte"/>
          <w:rFonts w:ascii="Arial" w:hAnsi="Arial" w:cs="Arial"/>
          <w:color w:val="434343"/>
          <w:sz w:val="22"/>
          <w:szCs w:val="22"/>
        </w:rPr>
      </w:pPr>
      <w:r>
        <w:rPr>
          <w:rFonts w:cs="Arial" w:ascii="Arial" w:hAnsi="Arial"/>
          <w:color w:val="434343"/>
          <w:sz w:val="22"/>
          <w:szCs w:val="22"/>
        </w:rPr>
      </w:r>
    </w:p>
    <w:p>
      <w:pPr>
        <w:pStyle w:val="NormalWeb"/>
        <w:shd w:val="clear" w:color="auto" w:fill="FFFFFF"/>
        <w:spacing w:before="0" w:after="0"/>
        <w:rPr>
          <w:rFonts w:ascii="Arial" w:hAnsi="Arial" w:cs="Arial"/>
          <w:sz w:val="22"/>
          <w:szCs w:val="22"/>
        </w:rPr>
      </w:pPr>
      <w:r>
        <w:rPr>
          <w:rStyle w:val="Enfasiforte"/>
          <w:rFonts w:cs="Arial" w:ascii="Arial" w:hAnsi="Arial"/>
          <w:sz w:val="22"/>
          <w:szCs w:val="22"/>
        </w:rPr>
        <w:t>Art. 7 Bis Legge Regionale n. 12/1999 e ss.mm.ii</w:t>
      </w:r>
    </w:p>
    <w:p>
      <w:pPr>
        <w:pStyle w:val="Normal"/>
        <w:shd w:val="clear" w:color="auto" w:fill="FFFFFF"/>
        <w:jc w:val="both"/>
        <w:textAlignment w:val="baseline"/>
        <w:rPr>
          <w:rFonts w:ascii="Open Sans" w:hAnsi="Open Sans" w:cs="Open Sans"/>
          <w:b/>
          <w:b/>
          <w:iCs/>
          <w:sz w:val="22"/>
          <w:szCs w:val="22"/>
        </w:rPr>
      </w:pPr>
      <w:r>
        <w:rPr>
          <w:rStyle w:val="Inlinea"/>
          <w:rFonts w:cs="Open Sans" w:ascii="Open Sans" w:hAnsi="Open Sans"/>
          <w:b/>
          <w:iCs/>
          <w:sz w:val="22"/>
          <w:szCs w:val="22"/>
        </w:rPr>
        <w:t>Art. 7 Bis Hobbisti</w:t>
      </w:r>
    </w:p>
    <w:p>
      <w:pPr>
        <w:pStyle w:val="Normal"/>
        <w:shd w:val="clear" w:color="auto" w:fill="FFFFFF"/>
        <w:ind w:hanging="225"/>
        <w:jc w:val="both"/>
        <w:textAlignment w:val="baseline"/>
        <w:rPr>
          <w:rFonts w:ascii="Open Sans" w:hAnsi="Open Sans" w:cs="Open Sans"/>
        </w:rPr>
      </w:pPr>
      <w:bookmarkStart w:id="0" w:name="art7bis-com1"/>
      <w:bookmarkEnd w:id="0"/>
      <w:r>
        <w:rPr>
          <w:rStyle w:val="Comma"/>
          <w:rFonts w:cs="Open Sans" w:ascii="Open Sans" w:hAnsi="Open Sans"/>
          <w:b/>
          <w:bCs/>
          <w:sz w:val="22"/>
          <w:szCs w:val="22"/>
          <w:u w:val="single"/>
        </w:rPr>
        <w:t>1.</w:t>
      </w:r>
      <w:r>
        <w:rPr>
          <w:rFonts w:cs="Open Sans" w:ascii="Open Sans" w:hAnsi="Open Sans"/>
          <w:sz w:val="22"/>
          <w:szCs w:val="22"/>
        </w:rPr>
        <w:t xml:space="preserve"> </w:t>
      </w:r>
      <w:r>
        <w:rPr>
          <w:rStyle w:val="Inlinea"/>
          <w:rFonts w:cs="Open Sans" w:ascii="Open Sans" w:hAnsi="Open Sans"/>
          <w:iCs/>
        </w:rPr>
        <w:t>Sono, di seguito, denominati hobbisti tutti gli operatori non professionali del commercio che non essendo in possesso dell'autorizzazione di cui agli articoli 2 e 3, vendono, barattano, propongono o espongono, in modo saltuario ed occasionale, merci di modico valore. Essi possono operare solo nei mercatini aperti alla partecipazione degli hobbisti di cui all'articolo 6, comma 1, lettera c bis) e lettera c ter).</w:t>
      </w:r>
    </w:p>
    <w:p>
      <w:pPr>
        <w:pStyle w:val="Normal"/>
        <w:shd w:val="clear" w:color="auto" w:fill="FFFFFF"/>
        <w:ind w:hanging="225"/>
        <w:jc w:val="both"/>
        <w:textAlignment w:val="baseline"/>
        <w:rPr>
          <w:rFonts w:ascii="Open Sans" w:hAnsi="Open Sans" w:cs="Open Sans"/>
        </w:rPr>
      </w:pPr>
      <w:bookmarkStart w:id="1" w:name="art7bis-com2"/>
      <w:bookmarkEnd w:id="1"/>
      <w:r>
        <w:rPr>
          <w:rStyle w:val="Comma"/>
          <w:rFonts w:cs="Open Sans" w:ascii="Open Sans" w:hAnsi="Open Sans"/>
          <w:b/>
          <w:bCs/>
          <w:u w:val="single"/>
        </w:rPr>
        <w:t>2.</w:t>
      </w:r>
      <w:r>
        <w:rPr>
          <w:rFonts w:cs="Open Sans" w:ascii="Open Sans" w:hAnsi="Open Sans"/>
        </w:rPr>
        <w:t xml:space="preserve"> </w:t>
      </w:r>
      <w:r>
        <w:rPr>
          <w:rStyle w:val="Inlinea"/>
          <w:rFonts w:cs="Open Sans" w:ascii="Open Sans" w:hAnsi="Open Sans"/>
          <w:iCs/>
        </w:rPr>
        <w:t>Non rientrano nella definizione di hobbisti i soggetti di cui all'</w:t>
      </w:r>
      <w:r>
        <w:fldChar w:fldCharType="begin"/>
      </w:r>
      <w:r>
        <w:rPr>
          <w:rStyle w:val="CollegamentoInternet"/>
          <w:iCs/>
          <w:rFonts w:cs="Open Sans" w:ascii="Open Sans" w:hAnsi="Open Sans"/>
          <w:color w:val="000000"/>
        </w:rPr>
        <w:instrText> HYPERLINK "http://www.normattiva.it/uri-res/N2Ls?urn:nir:stato:decreto.legislativo:1998;114" \l "art4"</w:instrText>
      </w:r>
      <w:r>
        <w:rPr>
          <w:rStyle w:val="CollegamentoInternet"/>
          <w:iCs/>
          <w:rFonts w:cs="Open Sans" w:ascii="Open Sans" w:hAnsi="Open Sans"/>
          <w:color w:val="000000"/>
        </w:rPr>
        <w:fldChar w:fldCharType="separate"/>
      </w:r>
      <w:r>
        <w:rPr>
          <w:rStyle w:val="CollegamentoInternet"/>
          <w:rFonts w:cs="Open Sans" w:ascii="Open Sans" w:hAnsi="Open Sans"/>
          <w:iCs/>
          <w:color w:val="000000"/>
        </w:rPr>
        <w:t>articolo 4, comma 2, del decreto legislativo n. 114 del 1998 </w:t>
      </w:r>
      <w:r>
        <w:rPr>
          <w:rStyle w:val="CollegamentoInternet"/>
          <w:iCs/>
          <w:rFonts w:cs="Open Sans" w:ascii="Open Sans" w:hAnsi="Open Sans"/>
          <w:color w:val="000000"/>
        </w:rPr>
        <w:fldChar w:fldCharType="end"/>
      </w:r>
      <w:r>
        <w:rPr>
          <w:rStyle w:val="Inlinea"/>
          <w:rFonts w:cs="Open Sans" w:ascii="Open Sans" w:hAnsi="Open Sans"/>
          <w:iCs/>
        </w:rPr>
        <w:t>. È fatta comunque salva la partecipazione degli operatori professionali alle manifestazioni fieristiche di cui alla legge regionale 25 febbraio 2000, n. 12 (Ordinamento del sistema fieristico regionale).</w:t>
      </w:r>
    </w:p>
    <w:p>
      <w:pPr>
        <w:pStyle w:val="Normal"/>
        <w:shd w:val="clear" w:color="auto" w:fill="FFFFFF"/>
        <w:ind w:hanging="225"/>
        <w:jc w:val="both"/>
        <w:textAlignment w:val="baseline"/>
        <w:rPr>
          <w:rFonts w:ascii="Open Sans" w:hAnsi="Open Sans" w:cs="Open Sans"/>
        </w:rPr>
      </w:pPr>
      <w:bookmarkStart w:id="2" w:name="art7bis-com3"/>
      <w:bookmarkEnd w:id="2"/>
      <w:r>
        <w:rPr>
          <w:rStyle w:val="Comma"/>
          <w:rFonts w:cs="Open Sans" w:ascii="Open Sans" w:hAnsi="Open Sans"/>
          <w:b/>
          <w:bCs/>
          <w:u w:val="single"/>
        </w:rPr>
        <w:t>3.</w:t>
      </w:r>
      <w:r>
        <w:rPr>
          <w:rFonts w:cs="Open Sans" w:ascii="Open Sans" w:hAnsi="Open Sans"/>
        </w:rPr>
        <w:t xml:space="preserve"> </w:t>
      </w:r>
      <w:r>
        <w:rPr>
          <w:rStyle w:val="Inlinea"/>
          <w:rFonts w:cs="Open Sans" w:ascii="Open Sans" w:hAnsi="Open Sans"/>
          <w:iCs/>
        </w:rPr>
        <w:t>Gli hobbisti, in possesso dei requisiti di cui all'</w:t>
      </w:r>
      <w:hyperlink r:id="rId10">
        <w:r>
          <w:rPr>
            <w:rStyle w:val="CollegamentoInternet"/>
            <w:rFonts w:cs="Open Sans" w:ascii="Open Sans" w:hAnsi="Open Sans"/>
            <w:iCs/>
            <w:color w:val="000000"/>
          </w:rPr>
          <w:t>articolo 71 del decreto legislativo n. 59 del 2010, </w:t>
        </w:r>
      </w:hyperlink>
      <w:r>
        <w:rPr>
          <w:rStyle w:val="Inlinea"/>
          <w:rFonts w:cs="Open Sans" w:ascii="Open Sans" w:hAnsi="Open Sans"/>
          <w:iCs/>
        </w:rPr>
        <w:t> per svolgere l'attività descritta nel comma 1 devono essere in possesso di un tesserino identificativo contenente generalità e foto, oltre a trenta appositi spazi per la vidimazione, di cui dieci per la partecipazione a mercatini degli hobbisti e venti per la partecipazione a mercatini storici con hobbisti, rilasciato dal Comune di residenza, oppure dal Comune capoluogo della Regione Emilia-Romagna per i residenti in altra regione. Esauriti gli spazi per la partecipazione a mercatini storici con hobbisti, eventuali spazi non utilizzati per la partecipazione a mercatini degli hobbisti possono essere utilizzati per la partecipazione a mercatini storici con hobbisti.</w:t>
      </w:r>
    </w:p>
    <w:p>
      <w:pPr>
        <w:pStyle w:val="Normal"/>
        <w:shd w:val="clear" w:color="auto" w:fill="FFFFFF"/>
        <w:ind w:hanging="225"/>
        <w:jc w:val="both"/>
        <w:textAlignment w:val="baseline"/>
        <w:rPr>
          <w:rFonts w:ascii="Open Sans" w:hAnsi="Open Sans" w:cs="Open Sans"/>
        </w:rPr>
      </w:pPr>
      <w:bookmarkStart w:id="3" w:name="art7bis-com4"/>
      <w:bookmarkEnd w:id="3"/>
      <w:r>
        <w:rPr>
          <w:rStyle w:val="Comma"/>
          <w:rFonts w:cs="Open Sans" w:ascii="Open Sans" w:hAnsi="Open Sans"/>
          <w:b/>
          <w:bCs/>
          <w:u w:val="single"/>
        </w:rPr>
        <w:t>4.</w:t>
      </w:r>
      <w:r>
        <w:rPr>
          <w:rFonts w:cs="Open Sans" w:ascii="Open Sans" w:hAnsi="Open Sans"/>
        </w:rPr>
        <w:t xml:space="preserve"> </w:t>
      </w:r>
      <w:r>
        <w:rPr>
          <w:rStyle w:val="Inlinea"/>
          <w:rFonts w:cs="Open Sans" w:ascii="Open Sans" w:hAnsi="Open Sans"/>
          <w:iCs/>
        </w:rPr>
        <w:t>La Giunta regionale stabilisce le caratteristiche del tesserino identificativo e le modalità di presentazione dell'istanza per l'ottenimento del medesimo. In caso di perdita dei requisiti di cui all'</w:t>
      </w:r>
      <w:r>
        <w:fldChar w:fldCharType="begin"/>
      </w:r>
      <w:r>
        <w:rPr>
          <w:rStyle w:val="CollegamentoInternet"/>
          <w:iCs/>
          <w:rFonts w:cs="Open Sans" w:ascii="Open Sans" w:hAnsi="Open Sans"/>
          <w:color w:val="000000"/>
        </w:rPr>
        <w:instrText> HYPERLINK "http://www.normattiva.it/uri-res/N2Ls?urn:nir:stato:decreto.legislativo:2010;59" \l "art71"</w:instrText>
      </w:r>
      <w:r>
        <w:rPr>
          <w:rStyle w:val="CollegamentoInternet"/>
          <w:iCs/>
          <w:rFonts w:cs="Open Sans" w:ascii="Open Sans" w:hAnsi="Open Sans"/>
          <w:color w:val="000000"/>
        </w:rPr>
        <w:fldChar w:fldCharType="separate"/>
      </w:r>
      <w:r>
        <w:rPr>
          <w:rStyle w:val="CollegamentoInternet"/>
          <w:rFonts w:cs="Open Sans" w:ascii="Open Sans" w:hAnsi="Open Sans"/>
          <w:iCs/>
          <w:color w:val="000000"/>
        </w:rPr>
        <w:t>articolo 71 del decreto legislativo n. 59 del 2010 </w:t>
      </w:r>
      <w:r>
        <w:rPr>
          <w:rStyle w:val="CollegamentoInternet"/>
          <w:iCs/>
          <w:rFonts w:cs="Open Sans" w:ascii="Open Sans" w:hAnsi="Open Sans"/>
          <w:color w:val="000000"/>
        </w:rPr>
        <w:fldChar w:fldCharType="end"/>
      </w:r>
      <w:r>
        <w:rPr>
          <w:rStyle w:val="Inlinea"/>
          <w:rFonts w:cs="Open Sans" w:ascii="Open Sans" w:hAnsi="Open Sans"/>
          <w:iCs/>
        </w:rPr>
        <w:t xml:space="preserve"> il Comune revoca il titolo abilitativo costituito dal tesserino.</w:t>
      </w:r>
    </w:p>
    <w:p>
      <w:pPr>
        <w:pStyle w:val="Normal"/>
        <w:shd w:val="clear" w:color="auto" w:fill="FFFFFF"/>
        <w:ind w:hanging="225"/>
        <w:jc w:val="both"/>
        <w:textAlignment w:val="baseline"/>
        <w:rPr>
          <w:rFonts w:ascii="Open Sans" w:hAnsi="Open Sans" w:cs="Open Sans"/>
        </w:rPr>
      </w:pPr>
      <w:bookmarkStart w:id="4" w:name="art7bis-com5"/>
      <w:bookmarkEnd w:id="4"/>
      <w:r>
        <w:rPr>
          <w:rStyle w:val="Comma"/>
          <w:rFonts w:cs="Open Sans" w:ascii="Open Sans" w:hAnsi="Open Sans"/>
          <w:b/>
          <w:bCs/>
          <w:u w:val="single"/>
        </w:rPr>
        <w:t>5.</w:t>
      </w:r>
      <w:r>
        <w:rPr>
          <w:rStyle w:val="Comma"/>
          <w:rFonts w:cs="Open Sans" w:ascii="Open Sans" w:hAnsi="Open Sans"/>
          <w:b/>
          <w:bCs/>
        </w:rPr>
        <w:t xml:space="preserve"> </w:t>
      </w:r>
      <w:r>
        <w:rPr>
          <w:rStyle w:val="Inlinea"/>
          <w:rFonts w:cs="Open Sans" w:ascii="Open Sans" w:hAnsi="Open Sans"/>
          <w:iCs/>
        </w:rPr>
        <w:t>Il tesserino identificativo ha validità di un anno ed è rilasciato per non più di una volta all'anno per nucleo di residenti nella stessa unità immobiliare e per un massimo di quattro anni, anche non consecutivi; tale tesserino, il cui rilascio è soggetto al pagamento di una somma, a titolo di diritti di istruttoria, pari a euro 100,00, non è cedibile o trasferibile ed è esposto, unitamente all'elenco della merce in esposizione, durante la manifestazione in modo visibile e leggibile al pubblico e agli organi preposti al controllo.</w:t>
      </w:r>
    </w:p>
    <w:p>
      <w:pPr>
        <w:pStyle w:val="Normal"/>
        <w:shd w:val="clear" w:color="auto" w:fill="FFFFFF"/>
        <w:ind w:hanging="225"/>
        <w:jc w:val="both"/>
        <w:textAlignment w:val="baseline"/>
        <w:rPr>
          <w:rFonts w:ascii="Open Sans" w:hAnsi="Open Sans" w:cs="Open Sans"/>
        </w:rPr>
      </w:pPr>
      <w:bookmarkStart w:id="5" w:name="art7bis-com6"/>
      <w:bookmarkEnd w:id="5"/>
      <w:r>
        <w:rPr>
          <w:rStyle w:val="Comma"/>
          <w:rFonts w:cs="Open Sans" w:ascii="Open Sans" w:hAnsi="Open Sans"/>
          <w:b/>
          <w:bCs/>
          <w:u w:val="single"/>
        </w:rPr>
        <w:t>6.</w:t>
      </w:r>
      <w:r>
        <w:rPr>
          <w:rFonts w:cs="Open Sans" w:ascii="Open Sans" w:hAnsi="Open Sans"/>
        </w:rPr>
        <w:t xml:space="preserve"> </w:t>
      </w:r>
      <w:r>
        <w:rPr>
          <w:rStyle w:val="Inlinea"/>
          <w:rFonts w:cs="Open Sans" w:ascii="Open Sans" w:hAnsi="Open Sans"/>
          <w:iCs/>
        </w:rPr>
        <w:t>Gli hobbisti abilitati secondo le modalità di cui al comma 3 partecipano ad un massimo di trenta manifestazioni l'anno e non possono farsi sostituire da altri soggetti nell'esercizio della propria attività. Si considera unitaria la partecipazione a manifestazioni della durata di due giorni, purché consecutivi.</w:t>
      </w:r>
    </w:p>
    <w:p>
      <w:pPr>
        <w:pStyle w:val="Normal"/>
        <w:shd w:val="clear" w:color="auto" w:fill="FFFFFF"/>
        <w:ind w:hanging="225"/>
        <w:jc w:val="both"/>
        <w:textAlignment w:val="baseline"/>
        <w:rPr>
          <w:rFonts w:ascii="Open Sans" w:hAnsi="Open Sans" w:cs="Open Sans"/>
        </w:rPr>
      </w:pPr>
      <w:bookmarkStart w:id="6" w:name="art7bis-com7"/>
      <w:bookmarkEnd w:id="6"/>
      <w:r>
        <w:rPr>
          <w:rStyle w:val="Comma"/>
          <w:rFonts w:cs="Open Sans" w:ascii="Open Sans" w:hAnsi="Open Sans"/>
          <w:b/>
          <w:bCs/>
          <w:u w:val="single"/>
        </w:rPr>
        <w:t>7.</w:t>
      </w:r>
      <w:r>
        <w:rPr>
          <w:rFonts w:cs="Open Sans" w:ascii="Open Sans" w:hAnsi="Open Sans"/>
        </w:rPr>
        <w:t xml:space="preserve"> </w:t>
      </w:r>
      <w:r>
        <w:rPr>
          <w:rStyle w:val="Inlinea"/>
          <w:rFonts w:cs="Open Sans" w:ascii="Open Sans" w:hAnsi="Open Sans"/>
          <w:iCs/>
        </w:rPr>
        <w:t>I Comuni che organizzano le manifestazioni di cui al comma 1, prima dell'assegnazione del posteggio, procedono obbligatoriamente alla vidimazione, con timbro e data, di uno degli appositi spazi del tesserino. Anche nell'ipotesi in cui la gestione delle manifestazioni sia affidata a soggetti diversi, il controllo e la vidimazione spettano al Comune ospitante, che ne stabilisce le modalità operative.</w:t>
      </w:r>
    </w:p>
    <w:p>
      <w:pPr>
        <w:pStyle w:val="Normal"/>
        <w:shd w:val="clear" w:color="auto" w:fill="FFFFFF"/>
        <w:ind w:hanging="225"/>
        <w:jc w:val="both"/>
        <w:textAlignment w:val="baseline"/>
        <w:rPr>
          <w:rFonts w:ascii="Open Sans" w:hAnsi="Open Sans" w:cs="Open Sans"/>
        </w:rPr>
      </w:pPr>
      <w:bookmarkStart w:id="7" w:name="art7bis-com8"/>
      <w:bookmarkEnd w:id="7"/>
      <w:r>
        <w:rPr>
          <w:rStyle w:val="Comma"/>
          <w:rFonts w:cs="Open Sans" w:ascii="Open Sans" w:hAnsi="Open Sans"/>
          <w:b/>
          <w:bCs/>
          <w:u w:val="single"/>
        </w:rPr>
        <w:t>8.</w:t>
      </w:r>
      <w:r>
        <w:rPr>
          <w:rFonts w:cs="Open Sans" w:ascii="Open Sans" w:hAnsi="Open Sans"/>
        </w:rPr>
        <w:t xml:space="preserve"> </w:t>
      </w:r>
      <w:r>
        <w:rPr>
          <w:rStyle w:val="Inlinea"/>
          <w:rFonts w:cs="Open Sans" w:ascii="Open Sans" w:hAnsi="Open Sans"/>
          <w:iCs/>
        </w:rPr>
        <w:t>I Comuni istituiscono i mercatini degli hobbisti e i mercatini storici con hobbisti secondo i principi e il procedimento indicati all'articolo 7, prevedendo che la partecipazione degli hobbisti avvenga con criteri di rotazione e senza il riconoscimento di priorità ottenute per la presenza ad edizioni precedenti, tenendo conto della partecipazione di operatori in possesso di autorizzazione al commercio sulle aree pubbliche. I Comuni trasmettono annualmente alla Regione gli elenchi dei tesserini rilasciati, dei mercatini degli hobbisti e dei mercatini storici con hobbisti svoltisi sul proprio territorio e degli hobbisti che hanno partecipato a ciascuna manifestazione, nonché un elenco riepilogativo concernente l'attività di vigilanza svolta e le sue risultanze. I dati sono messi a disposizione dell'Agenzia delle entrate per i controlli di competenza .</w:t>
      </w:r>
    </w:p>
    <w:p>
      <w:pPr>
        <w:pStyle w:val="Normal"/>
        <w:shd w:val="clear" w:color="auto" w:fill="FFFFFF"/>
        <w:ind w:hanging="225"/>
        <w:jc w:val="both"/>
        <w:textAlignment w:val="baseline"/>
        <w:rPr>
          <w:rFonts w:ascii="Open Sans" w:hAnsi="Open Sans" w:cs="Open Sans"/>
        </w:rPr>
      </w:pPr>
      <w:bookmarkStart w:id="8" w:name="art7bis-com9"/>
      <w:bookmarkEnd w:id="8"/>
      <w:r>
        <w:rPr>
          <w:rStyle w:val="Comma"/>
          <w:rFonts w:cs="Open Sans" w:ascii="Open Sans" w:hAnsi="Open Sans"/>
          <w:b/>
          <w:bCs/>
          <w:u w:val="single"/>
        </w:rPr>
        <w:t>9.</w:t>
      </w:r>
      <w:r>
        <w:rPr>
          <w:rFonts w:cs="Open Sans" w:ascii="Open Sans" w:hAnsi="Open Sans"/>
        </w:rPr>
        <w:t xml:space="preserve"> </w:t>
      </w:r>
      <w:r>
        <w:rPr>
          <w:rStyle w:val="Inlinea"/>
          <w:rFonts w:cs="Open Sans" w:ascii="Open Sans" w:hAnsi="Open Sans"/>
          <w:iCs/>
        </w:rPr>
        <w:t>È responsabilità dell'hobbista accertarsi della vidimazione giornaliera del tesserino da parte del Comune; in assenza di tale timbro il soggetto perde la condizione di hobbista e si configura a suo carico la fattispecie dell'esercizio del commercio senza autorizzazione, con le relative sanzioni di cui al comma 11.</w:t>
      </w:r>
    </w:p>
    <w:p>
      <w:pPr>
        <w:pStyle w:val="Normal"/>
        <w:shd w:val="clear" w:color="auto" w:fill="FFFFFF"/>
        <w:ind w:hanging="225"/>
        <w:jc w:val="both"/>
        <w:textAlignment w:val="baseline"/>
        <w:rPr>
          <w:rFonts w:ascii="Open Sans" w:hAnsi="Open Sans" w:cs="Open Sans"/>
        </w:rPr>
      </w:pPr>
      <w:bookmarkStart w:id="9" w:name="art7bis-com10"/>
      <w:bookmarkEnd w:id="9"/>
      <w:r>
        <w:rPr>
          <w:rStyle w:val="Comma"/>
          <w:rFonts w:cs="Open Sans" w:ascii="Open Sans" w:hAnsi="Open Sans"/>
          <w:b/>
          <w:bCs/>
          <w:u w:val="single"/>
        </w:rPr>
        <w:t>10.</w:t>
      </w:r>
      <w:r>
        <w:rPr>
          <w:rFonts w:cs="Open Sans" w:ascii="Open Sans" w:hAnsi="Open Sans"/>
        </w:rPr>
        <w:t xml:space="preserve"> </w:t>
      </w:r>
      <w:r>
        <w:rPr>
          <w:rStyle w:val="Inlinea"/>
          <w:rFonts w:cs="Open Sans" w:ascii="Open Sans" w:hAnsi="Open Sans"/>
          <w:iCs/>
        </w:rPr>
        <w:t>Gli hobbisti non possono comunque vendere, barattare, proporre o esporre più di un oggetto con un prezzo superiore a euro 250,00; in ogni caso, il valore complessivo della merce esibita non può essere superiore a euro 1.000,00. Relativamente all'esposizione dei prezzi, si applicano le disposizioni di cui all'</w:t>
      </w:r>
      <w:r>
        <w:fldChar w:fldCharType="begin"/>
      </w:r>
      <w:r>
        <w:rPr>
          <w:rStyle w:val="CollegamentoInternet"/>
          <w:iCs/>
          <w:rFonts w:cs="Open Sans" w:ascii="Open Sans" w:hAnsi="Open Sans"/>
          <w:color w:val="000000"/>
        </w:rPr>
        <w:instrText> HYPERLINK "http://www.normattiva.it/uri-res/N2Ls?urn:nir:stato:decreto.legislativo:1998;114" \l "art14"</w:instrText>
      </w:r>
      <w:r>
        <w:rPr>
          <w:rStyle w:val="CollegamentoInternet"/>
          <w:iCs/>
          <w:rFonts w:cs="Open Sans" w:ascii="Open Sans" w:hAnsi="Open Sans"/>
          <w:color w:val="000000"/>
        </w:rPr>
        <w:fldChar w:fldCharType="separate"/>
      </w:r>
      <w:r>
        <w:rPr>
          <w:rStyle w:val="CollegamentoInternet"/>
          <w:rFonts w:cs="Open Sans" w:ascii="Open Sans" w:hAnsi="Open Sans"/>
          <w:iCs/>
          <w:color w:val="000000"/>
        </w:rPr>
        <w:t>articolo 14 del decreto legislativo n. 114 del 1998 </w:t>
      </w:r>
      <w:r>
        <w:rPr>
          <w:rStyle w:val="CollegamentoInternet"/>
          <w:iCs/>
          <w:rFonts w:cs="Open Sans" w:ascii="Open Sans" w:hAnsi="Open Sans"/>
          <w:color w:val="000000"/>
        </w:rPr>
        <w:fldChar w:fldCharType="end"/>
      </w:r>
      <w:r>
        <w:rPr/>
        <w:drawing>
          <wp:inline distT="0" distB="0" distL="0" distR="0">
            <wp:extent cx="142240" cy="65405"/>
            <wp:effectExtent l="0" t="0" r="0" b="0"/>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embed="rId11"/>
                    <a:srcRect l="-504" t="-1081" r="-504" b="-1081"/>
                    <a:stretch>
                      <a:fillRect/>
                    </a:stretch>
                  </pic:blipFill>
                  <pic:spPr bwMode="auto">
                    <a:xfrm>
                      <a:off x="0" y="0"/>
                      <a:ext cx="142240" cy="65405"/>
                    </a:xfrm>
                    <a:prstGeom prst="rect">
                      <a:avLst/>
                    </a:prstGeom>
                  </pic:spPr>
                </pic:pic>
              </a:graphicData>
            </a:graphic>
          </wp:inline>
        </w:drawing>
      </w:r>
      <w:r>
        <w:rPr>
          <w:rStyle w:val="Inlinea"/>
          <w:rFonts w:cs="Open Sans" w:ascii="Open Sans" w:hAnsi="Open Sans"/>
          <w:iCs/>
        </w:rPr>
        <w:t>, e relative sanzioni. Ciascun hobbista consegna al Comune, in occasione della vidimazione del tesserino, l'elenco completo dei beni che intende vendere, barattare, proporre o esporre. L'elenco contiene la descrizione delle tipologie dei beni, il relativo prezzo al pubblico e l'indicazione della persona fisica o giuridica da cui l'hobbista li ha acquisiti.</w:t>
      </w:r>
    </w:p>
    <w:p>
      <w:pPr>
        <w:pStyle w:val="Normal"/>
        <w:shd w:val="clear" w:color="auto" w:fill="FFFFFF"/>
        <w:ind w:hanging="225"/>
        <w:jc w:val="both"/>
        <w:textAlignment w:val="baseline"/>
        <w:rPr>
          <w:rFonts w:ascii="Open Sans" w:hAnsi="Open Sans" w:cs="Open Sans"/>
        </w:rPr>
      </w:pPr>
      <w:bookmarkStart w:id="10" w:name="art7bis-com11"/>
      <w:bookmarkEnd w:id="10"/>
      <w:r>
        <w:rPr>
          <w:rStyle w:val="Comma"/>
          <w:rFonts w:cs="Open Sans" w:ascii="Open Sans" w:hAnsi="Open Sans"/>
          <w:b/>
          <w:bCs/>
          <w:u w:val="single"/>
        </w:rPr>
        <w:t>11.</w:t>
      </w:r>
      <w:r>
        <w:rPr>
          <w:rFonts w:cs="Open Sans" w:ascii="Open Sans" w:hAnsi="Open Sans"/>
        </w:rPr>
        <w:t xml:space="preserve"> </w:t>
      </w:r>
      <w:r>
        <w:rPr>
          <w:rStyle w:val="Inlinea"/>
          <w:rFonts w:cs="Open Sans" w:ascii="Open Sans" w:hAnsi="Open Sans"/>
          <w:iCs/>
        </w:rPr>
        <w:t>Nel caso di vendita, baratto, proposta o esposizione di merci nell'ambito dei mercatini degli hobbisti da parte di soggetti privi del tesserino identificativo di cui al comma 3 o in possesso di tesserino identificativo privo della vidimazione relativa alla manifestazione in corso di svolgimento, si applicano le disposizioni di cui all'</w:t>
      </w:r>
      <w:r>
        <w:fldChar w:fldCharType="begin"/>
      </w:r>
      <w:r>
        <w:rPr>
          <w:rStyle w:val="CollegamentoInternet"/>
          <w:iCs/>
          <w:rFonts w:cs="Open Sans" w:ascii="Open Sans" w:hAnsi="Open Sans"/>
          <w:color w:val="000000"/>
        </w:rPr>
        <w:instrText> HYPERLINK "http://www.normattiva.it/uri-res/N2Ls?urn:nir:stato:decreto.legislativo:1998;114" \l "art29"</w:instrText>
      </w:r>
      <w:r>
        <w:rPr>
          <w:rStyle w:val="CollegamentoInternet"/>
          <w:iCs/>
          <w:rFonts w:cs="Open Sans" w:ascii="Open Sans" w:hAnsi="Open Sans"/>
          <w:color w:val="000000"/>
        </w:rPr>
        <w:fldChar w:fldCharType="separate"/>
      </w:r>
      <w:r>
        <w:rPr>
          <w:rStyle w:val="CollegamentoInternet"/>
          <w:rFonts w:cs="Open Sans" w:ascii="Open Sans" w:hAnsi="Open Sans"/>
          <w:iCs/>
          <w:color w:val="000000"/>
        </w:rPr>
        <w:t>articolo 29, comma 1, del decreto legislativo n. 114 del 1998 </w:t>
      </w:r>
      <w:r>
        <w:rPr>
          <w:rStyle w:val="CollegamentoInternet"/>
          <w:iCs/>
          <w:rFonts w:cs="Open Sans" w:ascii="Open Sans" w:hAnsi="Open Sans"/>
          <w:color w:val="000000"/>
        </w:rPr>
        <w:fldChar w:fldCharType="end"/>
      </w:r>
      <w:r>
        <w:rPr/>
        <w:drawing>
          <wp:inline distT="0" distB="0" distL="0" distR="0">
            <wp:extent cx="142240" cy="65405"/>
            <wp:effectExtent l="0" t="0" r="0" b="0"/>
            <wp:docPr id="2"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5" descr=""/>
                    <pic:cNvPicPr>
                      <a:picLocks noChangeAspect="1" noChangeArrowheads="1"/>
                    </pic:cNvPicPr>
                  </pic:nvPicPr>
                  <pic:blipFill>
                    <a:blip r:embed="rId12"/>
                    <a:srcRect l="-504" t="-1081" r="-504" b="-1081"/>
                    <a:stretch>
                      <a:fillRect/>
                    </a:stretch>
                  </pic:blipFill>
                  <pic:spPr bwMode="auto">
                    <a:xfrm>
                      <a:off x="0" y="0"/>
                      <a:ext cx="142240" cy="65405"/>
                    </a:xfrm>
                    <a:prstGeom prst="rect">
                      <a:avLst/>
                    </a:prstGeom>
                  </pic:spPr>
                </pic:pic>
              </a:graphicData>
            </a:graphic>
          </wp:inline>
        </w:drawing>
      </w:r>
      <w:r>
        <w:rPr>
          <w:rStyle w:val="Inlinea"/>
          <w:rFonts w:cs="Open Sans" w:ascii="Open Sans" w:hAnsi="Open Sans"/>
          <w:iCs/>
        </w:rPr>
        <w:t>. Si applicano altresì le disposizioni dell'articolo 56 della legge regionale 24 marzo 2004, n. 6 (Riforma del sistema amministrativo regionale e locale. Unione europea e relazioni internazionali. Innovazione e semplificazione. Rapporti con l'università) e del regolamento regionale 29 luglio 2004, n. 20 (Regolamento di semplificazione delle procedure a tutela della legalità del commercio in attuazione dell'</w:t>
      </w:r>
      <w:hyperlink r:id="rId13">
        <w:r>
          <w:rPr>
            <w:rStyle w:val="CollegamentoInternet"/>
            <w:rFonts w:cs="Open Sans" w:ascii="Open Sans" w:hAnsi="Open Sans"/>
            <w:iCs/>
            <w:color w:val="000000"/>
          </w:rPr>
          <w:t>articolo 56, comma 3, della legge regionale 24 marzo 2004, n. 6</w:t>
        </w:r>
      </w:hyperlink>
      <w:r>
        <w:rPr>
          <w:rStyle w:val="Inlinea"/>
          <w:rFonts w:cs="Open Sans" w:ascii="Open Sans" w:hAnsi="Open Sans"/>
          <w:iCs/>
        </w:rPr>
        <w:t>).</w:t>
      </w:r>
    </w:p>
    <w:p>
      <w:pPr>
        <w:pStyle w:val="Normal"/>
        <w:shd w:val="clear" w:color="auto" w:fill="FFFFFF"/>
        <w:ind w:hanging="225"/>
        <w:jc w:val="both"/>
        <w:textAlignment w:val="baseline"/>
        <w:rPr>
          <w:rFonts w:ascii="Open Sans" w:hAnsi="Open Sans" w:cs="Open Sans"/>
        </w:rPr>
      </w:pPr>
      <w:bookmarkStart w:id="11" w:name="art7bis-com12"/>
      <w:bookmarkEnd w:id="11"/>
      <w:r>
        <w:rPr>
          <w:rStyle w:val="Comma"/>
          <w:rFonts w:cs="Open Sans" w:ascii="Open Sans" w:hAnsi="Open Sans"/>
          <w:b/>
          <w:bCs/>
          <w:u w:val="single"/>
        </w:rPr>
        <w:t>12.</w:t>
      </w:r>
      <w:r>
        <w:rPr>
          <w:rFonts w:cs="Open Sans" w:ascii="Open Sans" w:hAnsi="Open Sans"/>
        </w:rPr>
        <w:t xml:space="preserve"> </w:t>
      </w:r>
      <w:r>
        <w:rPr>
          <w:rStyle w:val="Inlinea"/>
          <w:rFonts w:cs="Open Sans" w:ascii="Open Sans" w:hAnsi="Open Sans"/>
          <w:iCs/>
        </w:rPr>
        <w:t>Si applica la sanzione amministrativa del pagamento di una somma da euro 250,00 a euro 1.500,00 nei seguenti casi:</w:t>
      </w:r>
    </w:p>
    <w:p>
      <w:pPr>
        <w:pStyle w:val="Normal"/>
        <w:shd w:val="clear" w:color="auto" w:fill="FFFFFF"/>
        <w:ind w:hanging="225"/>
        <w:jc w:val="both"/>
        <w:textAlignment w:val="baseline"/>
        <w:rPr>
          <w:rFonts w:ascii="Open Sans" w:hAnsi="Open Sans" w:cs="Open Sans"/>
        </w:rPr>
      </w:pPr>
      <w:r>
        <w:rPr>
          <w:rStyle w:val="Elencon"/>
          <w:rFonts w:cs="Open Sans" w:ascii="Open Sans" w:hAnsi="Open Sans"/>
        </w:rPr>
        <w:t>a)</w:t>
      </w:r>
      <w:r>
        <w:rPr>
          <w:rFonts w:cs="Open Sans" w:ascii="Open Sans" w:hAnsi="Open Sans"/>
        </w:rPr>
        <w:t xml:space="preserve"> </w:t>
      </w:r>
      <w:r>
        <w:rPr>
          <w:rStyle w:val="Inlinea"/>
          <w:rFonts w:cs="Open Sans" w:ascii="Open Sans" w:hAnsi="Open Sans"/>
          <w:iCs/>
        </w:rPr>
        <w:t>assenza del titolare del tesserino identificativo o mancata esposizione del tesserino al pubblico o agli organi preposti alla vigilanza;</w:t>
      </w:r>
    </w:p>
    <w:p>
      <w:pPr>
        <w:pStyle w:val="Normal"/>
        <w:shd w:val="clear" w:color="auto" w:fill="FFFFFF"/>
        <w:ind w:hanging="225"/>
        <w:jc w:val="both"/>
        <w:textAlignment w:val="baseline"/>
        <w:rPr>
          <w:rFonts w:ascii="Open Sans" w:hAnsi="Open Sans" w:cs="Open Sans"/>
        </w:rPr>
      </w:pPr>
      <w:r>
        <w:rPr>
          <w:rStyle w:val="Elencon"/>
          <w:rFonts w:cs="Open Sans" w:ascii="Open Sans" w:hAnsi="Open Sans"/>
        </w:rPr>
        <w:t>b)</w:t>
      </w:r>
      <w:r>
        <w:rPr>
          <w:rFonts w:cs="Open Sans" w:ascii="Open Sans" w:hAnsi="Open Sans"/>
        </w:rPr>
        <w:t xml:space="preserve"> </w:t>
      </w:r>
      <w:r>
        <w:rPr>
          <w:rStyle w:val="Inlinea"/>
          <w:rFonts w:cs="Open Sans" w:ascii="Open Sans" w:hAnsi="Open Sans"/>
          <w:iCs/>
        </w:rPr>
        <w:t>mancata consegna al Comune, in occasione della vidimazione del tesserino, dell'elenco dei beni oggetto di vendita, baratto, proposta o esposizione, ovvero accertata incompletezza o non veridicità del medesimo elenco;</w:t>
      </w:r>
    </w:p>
    <w:p>
      <w:pPr>
        <w:pStyle w:val="Normal"/>
        <w:shd w:val="clear" w:color="auto" w:fill="FFFFFF"/>
        <w:ind w:hanging="225"/>
        <w:jc w:val="both"/>
        <w:textAlignment w:val="baseline"/>
        <w:rPr>
          <w:rFonts w:ascii="Open Sans" w:hAnsi="Open Sans" w:cs="Open Sans"/>
        </w:rPr>
      </w:pPr>
      <w:r>
        <w:rPr>
          <w:rStyle w:val="Elencon"/>
          <w:rFonts w:cs="Open Sans" w:ascii="Open Sans" w:hAnsi="Open Sans"/>
        </w:rPr>
        <w:t>c)</w:t>
      </w:r>
      <w:r>
        <w:rPr>
          <w:rFonts w:cs="Open Sans" w:ascii="Open Sans" w:hAnsi="Open Sans"/>
        </w:rPr>
        <w:t xml:space="preserve"> </w:t>
      </w:r>
      <w:r>
        <w:rPr>
          <w:rStyle w:val="Inlinea"/>
          <w:rFonts w:cs="Open Sans" w:ascii="Open Sans" w:hAnsi="Open Sans"/>
          <w:iCs/>
        </w:rPr>
        <w:t>vendita, baratto, proposta o esposizione di più di un oggetto con un prezzo superiore a euro 250,00.</w:t>
      </w:r>
    </w:p>
    <w:p>
      <w:pPr>
        <w:pStyle w:val="Normal"/>
        <w:shd w:val="clear" w:color="auto" w:fill="FFFFFF"/>
        <w:ind w:hanging="225"/>
        <w:jc w:val="both"/>
        <w:textAlignment w:val="baseline"/>
        <w:rPr>
          <w:rFonts w:ascii="Open Sans" w:hAnsi="Open Sans" w:cs="Open Sans"/>
        </w:rPr>
      </w:pPr>
      <w:bookmarkStart w:id="12" w:name="art7bis-com13"/>
      <w:bookmarkEnd w:id="12"/>
      <w:r>
        <w:rPr>
          <w:rStyle w:val="Comma"/>
          <w:rFonts w:cs="Open Sans" w:ascii="Open Sans" w:hAnsi="Open Sans"/>
          <w:b/>
          <w:bCs/>
          <w:u w:val="single"/>
        </w:rPr>
        <w:t>13.</w:t>
      </w:r>
      <w:r>
        <w:rPr>
          <w:rFonts w:cs="Open Sans" w:ascii="Open Sans" w:hAnsi="Open Sans"/>
        </w:rPr>
        <w:t xml:space="preserve"> </w:t>
      </w:r>
      <w:r>
        <w:rPr>
          <w:rStyle w:val="Inlinea"/>
          <w:rFonts w:cs="Open Sans" w:ascii="Open Sans" w:hAnsi="Open Sans"/>
          <w:iCs/>
        </w:rPr>
        <w:t>Il Comune è competente a ricevere il rapporto di cui all'</w:t>
      </w:r>
      <w:hyperlink r:id="rId14">
        <w:r>
          <w:rPr>
            <w:rStyle w:val="CollegamentoInternet"/>
            <w:rFonts w:cs="Open Sans" w:ascii="Open Sans" w:hAnsi="Open Sans"/>
            <w:iCs/>
            <w:color w:val="000000"/>
          </w:rPr>
          <w:t>articolo 14 della legge regionale 28 aprile 1984, n. 21 </w:t>
        </w:r>
        <w:r>
          <w:rPr>
            <w:rStyle w:val="CollegamentoInternet"/>
          </w:rPr>
          <w:drawing>
            <wp:inline distT="0" distB="0" distL="0" distR="0">
              <wp:extent cx="142240" cy="65405"/>
              <wp:effectExtent l="0" t="0" r="0" b="0"/>
              <wp:docPr id="3"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6" descr=""/>
                      <pic:cNvPicPr>
                        <a:picLocks noChangeAspect="1" noChangeArrowheads="1"/>
                      </pic:cNvPicPr>
                    </pic:nvPicPr>
                    <pic:blipFill>
                      <a:blip r:embed="rId15"/>
                      <a:srcRect l="-504" t="-1081" r="-504" b="-1081"/>
                      <a:stretch>
                        <a:fillRect/>
                      </a:stretch>
                    </pic:blipFill>
                    <pic:spPr bwMode="auto">
                      <a:xfrm>
                        <a:off x="0" y="0"/>
                        <a:ext cx="142240" cy="65405"/>
                      </a:xfrm>
                      <a:prstGeom prst="rect">
                        <a:avLst/>
                      </a:prstGeom>
                    </pic:spPr>
                  </pic:pic>
                </a:graphicData>
              </a:graphic>
            </wp:inline>
          </w:drawing>
        </w:r>
      </w:hyperlink>
      <w:r>
        <w:rPr>
          <w:rStyle w:val="Inlinea"/>
          <w:rFonts w:cs="Open Sans" w:ascii="Open Sans" w:hAnsi="Open Sans"/>
          <w:iCs/>
        </w:rPr>
        <w:t> (Disciplina dell'applicazione delle sanzioni amministrative di competenza regionale), applica le sanzioni amministrative e introita i proventi.</w:t>
      </w:r>
    </w:p>
    <w:p>
      <w:pPr>
        <w:pStyle w:val="Normal"/>
        <w:shd w:val="clear" w:color="auto" w:fill="FFFFFF"/>
        <w:ind w:hanging="225"/>
        <w:jc w:val="both"/>
        <w:textAlignment w:val="baseline"/>
        <w:rPr>
          <w:rFonts w:ascii="Open Sans" w:hAnsi="Open Sans" w:cs="Open Sans"/>
        </w:rPr>
      </w:pPr>
      <w:bookmarkStart w:id="13" w:name="art7bis-com13bis"/>
      <w:bookmarkEnd w:id="13"/>
      <w:r>
        <w:rPr>
          <w:rStyle w:val="Comma"/>
          <w:rFonts w:cs="Open Sans" w:ascii="Open Sans" w:hAnsi="Open Sans"/>
          <w:b/>
          <w:bCs/>
          <w:u w:val="single"/>
        </w:rPr>
        <w:t>13 bis.</w:t>
      </w:r>
      <w:r>
        <w:rPr>
          <w:rFonts w:cs="Open Sans" w:ascii="Open Sans" w:hAnsi="Open Sans"/>
        </w:rPr>
        <w:t xml:space="preserve"> </w:t>
      </w:r>
      <w:r>
        <w:rPr>
          <w:rStyle w:val="Inlinea"/>
          <w:rFonts w:cs="Open Sans" w:ascii="Open Sans" w:hAnsi="Open Sans"/>
          <w:iCs/>
        </w:rPr>
        <w:t>Sono esentate dalle prescrizioni del presente articolo:</w:t>
      </w:r>
    </w:p>
    <w:p>
      <w:pPr>
        <w:pStyle w:val="Normal"/>
        <w:shd w:val="clear" w:color="auto" w:fill="FFFFFF"/>
        <w:ind w:hanging="225"/>
        <w:jc w:val="both"/>
        <w:textAlignment w:val="baseline"/>
        <w:rPr>
          <w:rFonts w:ascii="Open Sans" w:hAnsi="Open Sans" w:cs="Open Sans"/>
        </w:rPr>
      </w:pPr>
      <w:r>
        <w:rPr>
          <w:rStyle w:val="Elencon"/>
          <w:rFonts w:cs="Open Sans" w:ascii="Open Sans" w:hAnsi="Open Sans"/>
        </w:rPr>
        <w:t>a)</w:t>
      </w:r>
      <w:r>
        <w:rPr>
          <w:rFonts w:cs="Open Sans" w:ascii="Open Sans" w:hAnsi="Open Sans"/>
        </w:rPr>
        <w:t> </w:t>
      </w:r>
      <w:r>
        <w:rPr>
          <w:rStyle w:val="Inlinea"/>
          <w:rFonts w:cs="Open Sans" w:ascii="Open Sans" w:hAnsi="Open Sans"/>
          <w:iCs/>
        </w:rPr>
        <w:t>le manifestazioni riservate ai minori di anni diciotto;</w:t>
      </w:r>
    </w:p>
    <w:p>
      <w:pPr>
        <w:pStyle w:val="Normal"/>
        <w:shd w:val="clear" w:color="auto" w:fill="FFFFFF"/>
        <w:ind w:hanging="225"/>
        <w:jc w:val="both"/>
        <w:textAlignment w:val="baseline"/>
        <w:rPr>
          <w:rFonts w:ascii="Open Sans" w:hAnsi="Open Sans" w:cs="Open Sans"/>
        </w:rPr>
      </w:pPr>
      <w:r>
        <w:rPr>
          <w:rStyle w:val="Elencon"/>
          <w:rFonts w:cs="Open Sans" w:ascii="Open Sans" w:hAnsi="Open Sans"/>
        </w:rPr>
        <w:t>b)</w:t>
      </w:r>
      <w:r>
        <w:rPr>
          <w:rFonts w:cs="Open Sans" w:ascii="Open Sans" w:hAnsi="Open Sans"/>
        </w:rPr>
        <w:t> </w:t>
      </w:r>
      <w:r>
        <w:rPr>
          <w:rStyle w:val="Inlinea"/>
          <w:rFonts w:cs="Open Sans" w:ascii="Open Sans" w:hAnsi="Open Sans"/>
          <w:iCs/>
        </w:rPr>
        <w:t>le mostre zoologiche, filateliche, numismatiche e mineralogiche, quando non abbiano finalità commerciale;</w:t>
      </w:r>
    </w:p>
    <w:p>
      <w:pPr>
        <w:pStyle w:val="Normal"/>
        <w:shd w:val="clear" w:color="auto" w:fill="FFFFFF"/>
        <w:ind w:hanging="225"/>
        <w:jc w:val="both"/>
        <w:textAlignment w:val="baseline"/>
        <w:rPr>
          <w:rFonts w:ascii="Open Sans" w:hAnsi="Open Sans" w:cs="Open Sans"/>
        </w:rPr>
      </w:pPr>
      <w:r>
        <w:rPr>
          <w:rStyle w:val="Elencon"/>
          <w:rFonts w:cs="Open Sans" w:ascii="Open Sans" w:hAnsi="Open Sans"/>
        </w:rPr>
        <w:t>c)</w:t>
      </w:r>
      <w:r>
        <w:rPr>
          <w:rFonts w:cs="Open Sans" w:ascii="Open Sans" w:hAnsi="Open Sans"/>
        </w:rPr>
        <w:t> </w:t>
      </w:r>
      <w:r>
        <w:rPr>
          <w:rStyle w:val="Inlinea"/>
          <w:rFonts w:cs="Open Sans" w:ascii="Open Sans" w:hAnsi="Open Sans"/>
          <w:iCs/>
        </w:rPr>
        <w:t>le mostre-scambio esclusivamente di auto e moto d'epoca che non abbiano frequenza superiore a due volte all'anno.</w:t>
      </w:r>
    </w:p>
    <w:p>
      <w:pPr>
        <w:pStyle w:val="Normal"/>
        <w:shd w:val="clear" w:color="auto" w:fill="FFFFFF"/>
        <w:ind w:hanging="225"/>
        <w:jc w:val="both"/>
        <w:textAlignment w:val="baseline"/>
        <w:rPr/>
      </w:pPr>
      <w:r>
        <w:rPr>
          <w:rStyle w:val="Comma"/>
          <w:rFonts w:cs="Open Sans" w:ascii="Open Sans" w:hAnsi="Open Sans"/>
          <w:b/>
          <w:bCs/>
          <w:u w:val="single"/>
        </w:rPr>
        <w:t>13 ter</w:t>
      </w:r>
      <w:r>
        <w:rPr>
          <w:rStyle w:val="Comma"/>
          <w:rFonts w:cs="Open Sans" w:ascii="Open Sans" w:hAnsi="Open Sans"/>
          <w:b/>
          <w:bCs/>
        </w:rPr>
        <w:t>.</w:t>
      </w:r>
      <w:r>
        <w:rPr>
          <w:rFonts w:cs="Open Sans" w:ascii="Open Sans" w:hAnsi="Open Sans"/>
        </w:rPr>
        <w:t xml:space="preserve"> </w:t>
      </w:r>
      <w:r>
        <w:rPr>
          <w:rStyle w:val="Inlinea"/>
          <w:rFonts w:cs="Open Sans" w:ascii="Open Sans" w:hAnsi="Open Sans"/>
          <w:iCs/>
        </w:rPr>
        <w:t>Abrogato.</w:t>
      </w:r>
    </w:p>
    <w:p>
      <w:pPr>
        <w:pStyle w:val="Normal"/>
        <w:shd w:val="clear" w:color="auto" w:fill="FFFFFF"/>
        <w:ind w:hanging="225"/>
        <w:jc w:val="both"/>
        <w:textAlignment w:val="baseline"/>
        <w:rPr>
          <w:rStyle w:val="Inlinea"/>
          <w:rFonts w:ascii="Open Sans" w:hAnsi="Open Sans" w:cs="Open Sans"/>
          <w:iCs/>
        </w:rPr>
      </w:pPr>
      <w:r>
        <w:rPr/>
      </w:r>
    </w:p>
    <w:p>
      <w:pPr>
        <w:pStyle w:val="NormalWeb"/>
        <w:shd w:val="clear" w:color="auto" w:fill="FFFFFF"/>
        <w:spacing w:before="0" w:after="0"/>
        <w:rPr>
          <w:rFonts w:ascii="Arial" w:hAnsi="Arial" w:cs="Arial"/>
          <w:sz w:val="22"/>
          <w:szCs w:val="22"/>
        </w:rPr>
      </w:pPr>
      <w:r>
        <w:rPr/>
      </w:r>
    </w:p>
    <w:p>
      <w:pPr>
        <w:pStyle w:val="NormalWeb"/>
        <w:shd w:val="clear" w:color="auto" w:fill="FFFFFF"/>
        <w:spacing w:before="0" w:after="0"/>
        <w:rPr/>
      </w:pPr>
      <w:r>
        <w:rPr>
          <w:rStyle w:val="Enfasiforte"/>
          <w:rFonts w:eastAsia="Times New Roman" w:cs="Arial" w:ascii="Arial" w:hAnsi="Arial"/>
          <w:color w:val="auto"/>
          <w:kern w:val="0"/>
          <w:sz w:val="22"/>
          <w:szCs w:val="22"/>
          <w:lang w:val="it-IT" w:eastAsia="zh-CN" w:bidi="ar-SA"/>
        </w:rPr>
        <w:t xml:space="preserve">Art. </w:t>
      </w:r>
      <w:r>
        <w:rPr>
          <w:rStyle w:val="Enfasiforte"/>
          <w:rFonts w:eastAsia="Times New Roman" w:cs="Arial" w:ascii="Arial" w:hAnsi="Arial"/>
          <w:color w:val="auto"/>
          <w:kern w:val="0"/>
          <w:sz w:val="22"/>
          <w:szCs w:val="22"/>
          <w:lang w:val="it-IT" w:eastAsia="zh-CN" w:bidi="ar-SA"/>
        </w:rPr>
        <w:t>1</w:t>
      </w:r>
      <w:r>
        <w:rPr>
          <w:rStyle w:val="Enfasiforte"/>
          <w:rFonts w:eastAsia="Times New Roman" w:cs="Arial" w:ascii="Arial" w:hAnsi="Arial"/>
          <w:color w:val="auto"/>
          <w:kern w:val="0"/>
          <w:sz w:val="22"/>
          <w:szCs w:val="22"/>
          <w:lang w:val="it-IT" w:eastAsia="zh-CN" w:bidi="ar-SA"/>
        </w:rPr>
        <w:t xml:space="preserve"> </w:t>
      </w:r>
      <w:r>
        <w:rPr>
          <w:rStyle w:val="Enfasiforte"/>
          <w:rFonts w:eastAsia="Times New Roman" w:cs="Arial" w:ascii="Arial" w:hAnsi="Arial"/>
          <w:color w:val="auto"/>
          <w:kern w:val="0"/>
          <w:sz w:val="22"/>
          <w:szCs w:val="22"/>
          <w:lang w:val="it-IT" w:eastAsia="zh-CN" w:bidi="ar-SA"/>
        </w:rPr>
        <w:t>del Regolamento del Mercatino dell’Antiquariato e degli Hobbisti del Comune di Novellara Approvato con delibera di C.C. n 31 del 29/07/2021</w:t>
      </w:r>
    </w:p>
    <w:p>
      <w:pPr>
        <w:pStyle w:val="NormalWeb"/>
        <w:shd w:val="clear" w:color="auto" w:fill="FFFFFF"/>
        <w:spacing w:before="0" w:after="0"/>
        <w:rPr>
          <w:rFonts w:ascii="Arial" w:hAnsi="Arial" w:cs="Arial"/>
          <w:sz w:val="22"/>
          <w:szCs w:val="22"/>
        </w:rPr>
      </w:pPr>
      <w:r>
        <w:rPr>
          <w:rStyle w:val="Inlinea"/>
          <w:rFonts w:cs="Open Sans" w:ascii="Open Sans" w:hAnsi="Open Sans"/>
          <w:b/>
          <w:iCs/>
          <w:sz w:val="22"/>
          <w:szCs w:val="22"/>
        </w:rPr>
        <w:t xml:space="preserve">Art. 1 - Oggetto </w:t>
      </w:r>
      <w:r>
        <w:rPr>
          <w:rStyle w:val="Inlinea"/>
          <w:rFonts w:cs="Open Sans" w:ascii="Open Sans" w:hAnsi="Open Sans"/>
          <w:b/>
          <w:iCs/>
          <w:sz w:val="22"/>
          <w:szCs w:val="22"/>
        </w:rPr>
        <w:t>e</w:t>
      </w:r>
      <w:r>
        <w:rPr>
          <w:rStyle w:val="Inlinea"/>
          <w:rFonts w:cs="Open Sans" w:ascii="Open Sans" w:hAnsi="Open Sans"/>
          <w:b/>
          <w:iCs/>
          <w:sz w:val="22"/>
          <w:szCs w:val="22"/>
        </w:rPr>
        <w:t xml:space="preserve"> Finalit</w:t>
      </w:r>
      <w:r>
        <w:rPr>
          <w:rStyle w:val="Inlinea"/>
          <w:rFonts w:cs="Open Sans" w:ascii="Open Sans" w:hAnsi="Open Sans"/>
          <w:b/>
          <w:iCs/>
          <w:sz w:val="22"/>
          <w:szCs w:val="22"/>
        </w:rPr>
        <w:t>à</w:t>
      </w:r>
    </w:p>
    <w:p>
      <w:pPr>
        <w:pStyle w:val="Normal"/>
        <w:shd w:val="clear" w:color="auto" w:fill="FFFFFF"/>
        <w:ind w:hanging="225"/>
        <w:jc w:val="left"/>
        <w:textAlignment w:val="baseline"/>
        <w:rPr/>
      </w:pPr>
      <w:r>
        <w:rPr>
          <w:rStyle w:val="Inlinea"/>
          <w:rFonts w:eastAsia="Times New Roman" w:cs="Open Sans" w:ascii="Open Sans" w:hAnsi="Open Sans"/>
          <w:b/>
          <w:bCs/>
          <w:i w:val="false"/>
          <w:iCs w:val="false"/>
          <w:color w:val="auto"/>
          <w:kern w:val="0"/>
          <w:sz w:val="20"/>
          <w:szCs w:val="20"/>
          <w:u w:val="single"/>
          <w:lang w:val="it-IT" w:eastAsia="zh-CN" w:bidi="ar-SA"/>
        </w:rPr>
        <w:t xml:space="preserve">1. </w:t>
      </w:r>
      <w:r>
        <w:rPr>
          <w:rStyle w:val="Inlinea"/>
          <w:rFonts w:eastAsia="Times New Roman" w:cs="Open Sans" w:ascii="Open Sans" w:hAnsi="Open Sans"/>
          <w:iCs/>
          <w:color w:val="auto"/>
          <w:kern w:val="0"/>
          <w:sz w:val="20"/>
          <w:szCs w:val="20"/>
          <w:lang w:val="it-IT" w:eastAsia="zh-CN" w:bidi="ar-SA"/>
        </w:rPr>
        <w:t xml:space="preserve">La disciplina delle attività di cui al presente regolamento è emanata ai sensi e nel </w:t>
      </w:r>
      <w:r>
        <w:rPr>
          <w:rStyle w:val="Inlinea"/>
          <w:rFonts w:eastAsia="Times New Roman" w:cs="Open Sans" w:ascii="Open Sans" w:hAnsi="Open Sans"/>
          <w:iCs/>
          <w:color w:val="auto"/>
          <w:kern w:val="0"/>
          <w:sz w:val="20"/>
          <w:szCs w:val="20"/>
          <w:lang w:val="it-IT" w:eastAsia="zh-CN" w:bidi="ar-SA"/>
        </w:rPr>
        <w:t xml:space="preserve">rispetto del </w:t>
      </w:r>
      <w:r>
        <w:rPr>
          <w:rStyle w:val="Inlinea"/>
          <w:rFonts w:eastAsia="Times New Roman" w:cs="Open Sans" w:ascii="Open Sans" w:hAnsi="Open Sans"/>
          <w:i/>
          <w:iCs/>
          <w:color w:val="auto"/>
          <w:kern w:val="0"/>
          <w:sz w:val="20"/>
          <w:szCs w:val="20"/>
          <w:lang w:val="it-IT" w:eastAsia="zh-CN" w:bidi="ar-SA"/>
        </w:rPr>
        <w:t xml:space="preserve">D.Lgs 114/98, </w:t>
      </w:r>
      <w:r>
        <w:rPr>
          <w:rStyle w:val="Inlinea"/>
          <w:rFonts w:eastAsia="Times New Roman" w:cs="Open Sans" w:ascii="Open Sans" w:hAnsi="Open Sans"/>
          <w:iCs/>
          <w:color w:val="auto"/>
          <w:kern w:val="0"/>
          <w:sz w:val="20"/>
          <w:szCs w:val="20"/>
          <w:lang w:val="it-IT" w:eastAsia="zh-CN" w:bidi="ar-SA"/>
        </w:rPr>
        <w:t xml:space="preserve">della </w:t>
      </w:r>
      <w:r>
        <w:rPr>
          <w:rStyle w:val="Inlinea"/>
          <w:rFonts w:eastAsia="Times New Roman" w:cs="Open Sans" w:ascii="Open Sans" w:hAnsi="Open Sans"/>
          <w:i/>
          <w:iCs/>
          <w:color w:val="auto"/>
          <w:kern w:val="0"/>
          <w:sz w:val="20"/>
          <w:szCs w:val="20"/>
          <w:lang w:val="it-IT" w:eastAsia="zh-CN" w:bidi="ar-SA"/>
        </w:rPr>
        <w:t xml:space="preserve">L.R. 12/1999 e successive modifiche in particolare quelle  avvenute con la L.R. 4/2013 </w:t>
      </w:r>
      <w:r>
        <w:rPr>
          <w:rStyle w:val="Inlinea"/>
          <w:rFonts w:eastAsia="Times New Roman" w:cs="Open Sans" w:ascii="Open Sans" w:hAnsi="Open Sans"/>
          <w:iCs/>
          <w:color w:val="auto"/>
          <w:kern w:val="0"/>
          <w:sz w:val="20"/>
          <w:szCs w:val="20"/>
          <w:lang w:val="it-IT" w:eastAsia="zh-CN" w:bidi="ar-SA"/>
        </w:rPr>
        <w:t xml:space="preserve">e la </w:t>
      </w:r>
      <w:r>
        <w:rPr>
          <w:rStyle w:val="Inlinea"/>
          <w:rFonts w:eastAsia="Times New Roman" w:cs="Open Sans" w:ascii="Open Sans" w:hAnsi="Open Sans"/>
          <w:i/>
          <w:iCs/>
          <w:color w:val="auto"/>
          <w:kern w:val="0"/>
          <w:sz w:val="20"/>
          <w:szCs w:val="20"/>
          <w:lang w:val="it-IT" w:eastAsia="zh-CN" w:bidi="ar-SA"/>
        </w:rPr>
        <w:t xml:space="preserve">L.R. 23/2018 aventi i contenuti per le </w:t>
      </w:r>
      <w:r>
        <w:rPr>
          <w:rStyle w:val="Inlinea"/>
          <w:rFonts w:eastAsia="Times New Roman" w:cs="Open Sans" w:ascii="Open Sans" w:hAnsi="Open Sans"/>
          <w:iCs/>
          <w:color w:val="auto"/>
          <w:kern w:val="0"/>
          <w:sz w:val="20"/>
          <w:szCs w:val="20"/>
          <w:lang w:val="it-IT" w:eastAsia="zh-CN" w:bidi="ar-SA"/>
        </w:rPr>
        <w:t>modalità di</w:t>
      </w:r>
    </w:p>
    <w:p>
      <w:pPr>
        <w:pStyle w:val="Normal"/>
        <w:jc w:val="left"/>
        <w:rPr/>
      </w:pPr>
      <w:r>
        <w:rPr>
          <w:rStyle w:val="Inlinea"/>
          <w:rFonts w:eastAsia="Times New Roman" w:cs="Open Sans" w:ascii="Open Sans" w:hAnsi="Open Sans"/>
          <w:iCs/>
          <w:color w:val="auto"/>
          <w:kern w:val="0"/>
          <w:sz w:val="20"/>
          <w:szCs w:val="20"/>
          <w:lang w:val="it-IT" w:eastAsia="zh-CN" w:bidi="ar-SA"/>
        </w:rPr>
        <w:t xml:space="preserve">svolgimento del mercatino degli hobbisti nonché della Delibera di Giunta Regionale n.844/2013 in merito al rilascio dei tesserini per gli hobbisti, che vengono così denominate </w:t>
      </w:r>
      <w:r>
        <w:rPr>
          <w:rStyle w:val="Inlinea"/>
          <w:rFonts w:eastAsia="Times New Roman" w:cs="Open Sans" w:ascii="Open Sans" w:hAnsi="Open Sans"/>
          <w:b/>
          <w:i/>
          <w:iCs/>
          <w:color w:val="auto"/>
          <w:kern w:val="0"/>
          <w:sz w:val="20"/>
          <w:szCs w:val="20"/>
          <w:lang w:val="it-IT" w:eastAsia="zh-CN" w:bidi="ar-SA"/>
        </w:rPr>
        <w:t>“MERCATINO DELL’ANTIQUARIATO E DEGLI HOBBISTI”</w:t>
      </w:r>
      <w:r>
        <w:rPr>
          <w:rStyle w:val="Inlinea"/>
          <w:rFonts w:eastAsia="Times New Roman" w:cs="Open Sans" w:ascii="Open Sans" w:hAnsi="Open Sans"/>
          <w:iCs/>
          <w:color w:val="auto"/>
          <w:kern w:val="0"/>
          <w:sz w:val="20"/>
          <w:szCs w:val="20"/>
          <w:lang w:val="it-IT" w:eastAsia="zh-CN" w:bidi="ar-SA"/>
        </w:rPr>
        <w:t>.</w:t>
      </w:r>
    </w:p>
    <w:p>
      <w:pPr>
        <w:pStyle w:val="Normal"/>
        <w:shd w:val="clear" w:color="auto" w:fill="FFFFFF"/>
        <w:ind w:hanging="225"/>
        <w:jc w:val="left"/>
        <w:textAlignment w:val="baseline"/>
        <w:rPr/>
      </w:pPr>
      <w:r>
        <w:rPr>
          <w:rStyle w:val="Inlinea"/>
          <w:rFonts w:eastAsia="Times New Roman" w:cs="Open Sans" w:ascii="Open Sans" w:hAnsi="Open Sans"/>
          <w:iCs/>
          <w:color w:val="auto"/>
          <w:kern w:val="0"/>
          <w:sz w:val="20"/>
          <w:szCs w:val="20"/>
          <w:lang w:val="it-IT" w:eastAsia="zh-CN" w:bidi="ar-SA"/>
        </w:rPr>
        <w:t>2. Il presente regolamento disciplina quindi le seguenti attività:</w:t>
      </w:r>
    </w:p>
    <w:p>
      <w:pPr>
        <w:pStyle w:val="Normal"/>
        <w:jc w:val="left"/>
        <w:rPr/>
      </w:pPr>
      <w:r>
        <w:rPr>
          <w:rStyle w:val="Inlinea"/>
          <w:rFonts w:eastAsia="Times New Roman" w:cs="Open Sans" w:ascii="Open Sans" w:hAnsi="Open Sans"/>
          <w:iCs/>
          <w:color w:val="auto"/>
          <w:kern w:val="0"/>
          <w:sz w:val="20"/>
          <w:szCs w:val="20"/>
          <w:lang w:val="it-IT" w:eastAsia="zh-CN" w:bidi="ar-SA"/>
        </w:rPr>
        <w:t xml:space="preserve"> </w:t>
      </w:r>
      <w:r>
        <w:rPr>
          <w:rStyle w:val="Inlinea"/>
          <w:rFonts w:eastAsia="Times New Roman" w:cs="Open Sans" w:ascii="Open Sans" w:hAnsi="Open Sans"/>
          <w:iCs/>
          <w:color w:val="auto"/>
          <w:kern w:val="0"/>
          <w:sz w:val="20"/>
          <w:szCs w:val="20"/>
          <w:lang w:val="it-IT" w:eastAsia="zh-CN" w:bidi="ar-SA"/>
        </w:rPr>
        <w:t>Commercio su aree pubbliche a merceologia esclusiva relativa al solo settore merceologico non alimentare;</w:t>
      </w:r>
    </w:p>
    <w:p>
      <w:pPr>
        <w:pStyle w:val="Normal"/>
        <w:jc w:val="left"/>
        <w:rPr/>
      </w:pPr>
      <w:r>
        <w:rPr>
          <w:rStyle w:val="Inlinea"/>
          <w:rFonts w:eastAsia="Times New Roman" w:cs="Open Sans" w:ascii="Open Sans" w:hAnsi="Open Sans"/>
          <w:iCs/>
          <w:color w:val="auto"/>
          <w:kern w:val="0"/>
          <w:sz w:val="20"/>
          <w:szCs w:val="20"/>
          <w:lang w:val="it-IT" w:eastAsia="zh-CN" w:bidi="ar-SA"/>
        </w:rPr>
        <w:t xml:space="preserve"> </w:t>
      </w:r>
      <w:r>
        <w:rPr>
          <w:rStyle w:val="Inlinea"/>
          <w:rFonts w:eastAsia="Times New Roman" w:cs="Open Sans" w:ascii="Open Sans" w:hAnsi="Open Sans"/>
          <w:iCs/>
          <w:color w:val="auto"/>
          <w:kern w:val="0"/>
          <w:sz w:val="20"/>
          <w:szCs w:val="20"/>
          <w:lang w:val="it-IT" w:eastAsia="zh-CN" w:bidi="ar-SA"/>
        </w:rPr>
        <w:t>Hobbisti così come definiti al successivo articolo 4 del presente Regolamento.</w:t>
      </w:r>
    </w:p>
    <w:p>
      <w:pPr>
        <w:pStyle w:val="Normal"/>
        <w:widowControl/>
        <w:suppressAutoHyphens w:val="true"/>
        <w:bidi w:val="0"/>
        <w:spacing w:before="0" w:after="0"/>
        <w:ind w:left="0" w:right="0" w:hanging="227"/>
        <w:jc w:val="left"/>
        <w:rPr/>
      </w:pPr>
      <w:r>
        <w:rPr>
          <w:rStyle w:val="Inlinea"/>
          <w:rFonts w:eastAsia="Times New Roman" w:cs="Open Sans" w:ascii="Open Sans" w:hAnsi="Open Sans"/>
          <w:iCs/>
          <w:color w:val="auto"/>
          <w:kern w:val="0"/>
          <w:sz w:val="20"/>
          <w:szCs w:val="20"/>
          <w:lang w:val="it-IT" w:eastAsia="zh-CN" w:bidi="ar-SA"/>
        </w:rPr>
        <w:t>3. Nell’ambito del mercatino dell’antiquariato e degli hobbisti di seguito abbreviato in</w:t>
      </w:r>
    </w:p>
    <w:p>
      <w:pPr>
        <w:pStyle w:val="Normal"/>
        <w:jc w:val="left"/>
        <w:rPr/>
      </w:pPr>
      <w:r>
        <w:rPr>
          <w:rStyle w:val="Inlinea"/>
          <w:rFonts w:eastAsia="Times New Roman" w:cs="Open Sans" w:ascii="Open Sans" w:hAnsi="Open Sans"/>
          <w:iCs/>
          <w:color w:val="auto"/>
          <w:kern w:val="0"/>
          <w:sz w:val="20"/>
          <w:szCs w:val="20"/>
          <w:lang w:val="it-IT" w:eastAsia="zh-CN" w:bidi="ar-SA"/>
        </w:rPr>
        <w:t>“</w:t>
      </w:r>
      <w:r>
        <w:rPr>
          <w:rStyle w:val="Inlinea"/>
          <w:rFonts w:eastAsia="Times New Roman" w:cs="Open Sans" w:ascii="Open Sans" w:hAnsi="Open Sans"/>
          <w:iCs/>
          <w:color w:val="auto"/>
          <w:kern w:val="0"/>
          <w:sz w:val="20"/>
          <w:szCs w:val="20"/>
          <w:lang w:val="it-IT" w:eastAsia="zh-CN" w:bidi="ar-SA"/>
        </w:rPr>
        <w:t>mercatino” è consentito trattare le seguenti tipologie di articoli:</w:t>
      </w:r>
    </w:p>
    <w:p>
      <w:pPr>
        <w:pStyle w:val="Normal"/>
        <w:widowControl/>
        <w:suppressAutoHyphens w:val="true"/>
        <w:bidi w:val="0"/>
        <w:spacing w:before="0" w:after="0"/>
        <w:ind w:left="0" w:right="0" w:hanging="113"/>
        <w:jc w:val="left"/>
        <w:rPr/>
      </w:pPr>
      <w:r>
        <w:rPr>
          <w:rStyle w:val="Inlinea"/>
          <w:rFonts w:eastAsia="Times New Roman" w:cs="Open Sans" w:ascii="Open Sans" w:hAnsi="Open Sans"/>
          <w:b/>
          <w:bCs/>
          <w:iCs/>
          <w:color w:val="auto"/>
          <w:kern w:val="0"/>
          <w:sz w:val="20"/>
          <w:szCs w:val="20"/>
          <w:lang w:val="it-IT" w:eastAsia="zh-CN" w:bidi="ar-SA"/>
        </w:rPr>
        <w:t>a) oggetti di antiquariato ai sensi del D.lgs 490/1999 “Testo unico delle disposizioni  legislative in materia di beni culturali e ambientali, a norma dell'articolo 1 della L. 8 ottobre 1997, n. 352”; b) oggetti di antichità aventi interesse storico ed archeologico ammessi al libero commercio nonché cose vecchie, cose usate, oggettistica antica ed oggettistica da collezione in genere;</w:t>
      </w:r>
    </w:p>
    <w:p>
      <w:pPr>
        <w:pStyle w:val="Normal"/>
        <w:widowControl/>
        <w:suppressAutoHyphens w:val="true"/>
        <w:bidi w:val="0"/>
        <w:spacing w:before="0" w:after="0"/>
        <w:ind w:left="0" w:right="0" w:hanging="113"/>
        <w:jc w:val="left"/>
        <w:rPr/>
      </w:pPr>
      <w:r>
        <w:rPr>
          <w:rStyle w:val="Inlinea"/>
          <w:rFonts w:eastAsia="Times New Roman" w:cs="Open Sans" w:ascii="Open Sans" w:hAnsi="Open Sans"/>
          <w:b/>
          <w:bCs/>
          <w:iCs/>
          <w:color w:val="auto"/>
          <w:kern w:val="0"/>
          <w:sz w:val="20"/>
          <w:szCs w:val="20"/>
          <w:lang w:val="it-IT" w:eastAsia="zh-CN" w:bidi="ar-SA"/>
        </w:rPr>
        <w:t>c) brocantage;</w:t>
      </w:r>
    </w:p>
    <w:p>
      <w:pPr>
        <w:pStyle w:val="Normal"/>
        <w:widowControl/>
        <w:suppressAutoHyphens w:val="true"/>
        <w:bidi w:val="0"/>
        <w:spacing w:before="0" w:after="0"/>
        <w:ind w:left="0" w:right="0" w:hanging="113"/>
        <w:jc w:val="left"/>
        <w:rPr/>
      </w:pPr>
      <w:r>
        <w:rPr>
          <w:rStyle w:val="Inlinea"/>
          <w:rFonts w:eastAsia="Times New Roman" w:cs="Open Sans" w:ascii="Open Sans" w:hAnsi="Open Sans"/>
          <w:b/>
          <w:bCs/>
          <w:iCs/>
          <w:color w:val="auto"/>
          <w:kern w:val="0"/>
          <w:sz w:val="20"/>
          <w:szCs w:val="20"/>
          <w:lang w:val="it-IT" w:eastAsia="zh-CN" w:bidi="ar-SA"/>
        </w:rPr>
        <w:t>d) oggetti di modernariato e da collezionismo.</w:t>
      </w:r>
    </w:p>
    <w:p>
      <w:pPr>
        <w:pStyle w:val="Normal"/>
        <w:jc w:val="left"/>
        <w:rPr/>
      </w:pPr>
      <w:r>
        <w:rPr>
          <w:rStyle w:val="Inlinea"/>
          <w:rFonts w:eastAsia="Times New Roman" w:cs="Open Sans" w:ascii="Open Sans" w:hAnsi="Open Sans"/>
          <w:b/>
          <w:bCs/>
          <w:iCs/>
          <w:color w:val="auto"/>
          <w:kern w:val="0"/>
          <w:sz w:val="20"/>
          <w:szCs w:val="20"/>
          <w:lang w:val="it-IT" w:eastAsia="zh-CN" w:bidi="ar-SA"/>
        </w:rPr>
        <w:t xml:space="preserve">Nell’ambito del mercatino </w:t>
      </w:r>
      <w:r>
        <w:rPr>
          <w:rStyle w:val="Inlinea"/>
          <w:rFonts w:eastAsia="Times New Roman" w:cs="Open Sans" w:ascii="Open Sans" w:hAnsi="Open Sans"/>
          <w:b/>
          <w:bCs/>
          <w:iCs/>
          <w:color w:val="auto"/>
          <w:kern w:val="0"/>
          <w:sz w:val="20"/>
          <w:szCs w:val="20"/>
          <w:lang w:val="it-IT" w:eastAsia="zh-CN" w:bidi="ar-SA"/>
        </w:rPr>
        <w:t xml:space="preserve">NON </w:t>
      </w:r>
      <w:r>
        <w:rPr>
          <w:rStyle w:val="Inlinea"/>
          <w:rFonts w:eastAsia="Times New Roman" w:cs="Open Sans" w:ascii="Open Sans" w:hAnsi="Open Sans"/>
          <w:b/>
          <w:bCs/>
          <w:iCs/>
          <w:color w:val="auto"/>
          <w:kern w:val="0"/>
          <w:sz w:val="20"/>
          <w:szCs w:val="20"/>
          <w:lang w:val="it-IT" w:eastAsia="zh-CN" w:bidi="ar-SA"/>
        </w:rPr>
        <w:t xml:space="preserve"> è consentito trattare le seguenti tipologie di articoli:</w:t>
      </w:r>
    </w:p>
    <w:p>
      <w:pPr>
        <w:pStyle w:val="Normal"/>
        <w:widowControl/>
        <w:suppressAutoHyphens w:val="true"/>
        <w:bidi w:val="0"/>
        <w:spacing w:before="0" w:after="0"/>
        <w:ind w:left="0" w:right="0" w:hanging="113"/>
        <w:jc w:val="left"/>
        <w:rPr/>
      </w:pPr>
      <w:r>
        <w:rPr>
          <w:rStyle w:val="Inlinea"/>
          <w:rFonts w:eastAsia="Times New Roman" w:cs="Open Sans" w:ascii="Open Sans" w:hAnsi="Open Sans"/>
          <w:b/>
          <w:bCs/>
          <w:iCs/>
          <w:color w:val="auto"/>
          <w:kern w:val="0"/>
          <w:sz w:val="20"/>
          <w:szCs w:val="20"/>
          <w:lang w:val="it-IT" w:eastAsia="zh-CN" w:bidi="ar-SA"/>
        </w:rPr>
        <w:t>a) abbigliamento e scarpe (incluso l’abbigliamento vintage);</w:t>
      </w:r>
    </w:p>
    <w:p>
      <w:pPr>
        <w:pStyle w:val="Normal"/>
        <w:widowControl/>
        <w:suppressAutoHyphens w:val="true"/>
        <w:bidi w:val="0"/>
        <w:spacing w:before="0" w:after="0"/>
        <w:ind w:left="0" w:right="0" w:hanging="113"/>
        <w:jc w:val="left"/>
        <w:rPr/>
      </w:pPr>
      <w:r>
        <w:rPr>
          <w:rStyle w:val="Inlinea"/>
          <w:rFonts w:eastAsia="Times New Roman" w:cs="Open Sans" w:ascii="Open Sans" w:hAnsi="Open Sans"/>
          <w:b/>
          <w:bCs/>
          <w:iCs/>
          <w:color w:val="auto"/>
          <w:kern w:val="0"/>
          <w:sz w:val="20"/>
          <w:szCs w:val="20"/>
          <w:lang w:val="it-IT" w:eastAsia="zh-CN" w:bidi="ar-SA"/>
        </w:rPr>
        <w:t>b) oggetti preziosi;</w:t>
      </w:r>
    </w:p>
    <w:p>
      <w:pPr>
        <w:pStyle w:val="Normal"/>
        <w:widowControl/>
        <w:suppressAutoHyphens w:val="true"/>
        <w:bidi w:val="0"/>
        <w:spacing w:before="0" w:after="0"/>
        <w:ind w:left="0" w:right="0" w:hanging="113"/>
        <w:jc w:val="left"/>
        <w:rPr/>
      </w:pPr>
      <w:r>
        <w:rPr>
          <w:rStyle w:val="Inlinea"/>
          <w:rFonts w:eastAsia="Times New Roman" w:cs="Open Sans" w:ascii="Open Sans" w:hAnsi="Open Sans"/>
          <w:b/>
          <w:bCs/>
          <w:iCs/>
          <w:color w:val="auto"/>
          <w:kern w:val="0"/>
          <w:sz w:val="20"/>
          <w:szCs w:val="20"/>
          <w:lang w:val="it-IT" w:eastAsia="zh-CN" w:bidi="ar-SA"/>
        </w:rPr>
        <w:t>c) armi esplosivi;</w:t>
      </w:r>
    </w:p>
    <w:p>
      <w:pPr>
        <w:pStyle w:val="Normal"/>
        <w:widowControl/>
        <w:suppressAutoHyphens w:val="true"/>
        <w:bidi w:val="0"/>
        <w:spacing w:before="0" w:after="0"/>
        <w:ind w:left="0" w:right="0" w:hanging="113"/>
        <w:jc w:val="left"/>
        <w:rPr/>
      </w:pPr>
      <w:r>
        <w:rPr>
          <w:rStyle w:val="Inlinea"/>
          <w:rFonts w:eastAsia="Times New Roman" w:cs="Open Sans" w:ascii="Open Sans" w:hAnsi="Open Sans"/>
          <w:b/>
          <w:bCs/>
          <w:iCs/>
          <w:color w:val="auto"/>
          <w:kern w:val="0"/>
          <w:sz w:val="20"/>
          <w:szCs w:val="20"/>
          <w:lang w:val="it-IT" w:eastAsia="zh-CN" w:bidi="ar-SA"/>
        </w:rPr>
        <w:t>d) prodotti di cui al settore merceologico alimentare.</w:t>
      </w:r>
    </w:p>
    <w:p>
      <w:pPr>
        <w:pStyle w:val="Normal"/>
        <w:widowControl/>
        <w:suppressAutoHyphens w:val="true"/>
        <w:bidi w:val="0"/>
        <w:spacing w:before="0" w:after="0"/>
        <w:ind w:left="0" w:right="0" w:hanging="227"/>
        <w:jc w:val="left"/>
        <w:rPr/>
      </w:pPr>
      <w:r>
        <w:rPr>
          <w:rStyle w:val="Inlinea"/>
          <w:rFonts w:eastAsia="Times New Roman" w:cs="Open Sans" w:ascii="Open Sans" w:hAnsi="Open Sans"/>
          <w:iCs/>
          <w:color w:val="auto"/>
          <w:kern w:val="0"/>
          <w:sz w:val="20"/>
          <w:szCs w:val="20"/>
          <w:lang w:val="it-IT" w:eastAsia="zh-CN" w:bidi="ar-SA"/>
        </w:rPr>
        <w:t>4. Il presente regolamento ha come finalità quella di animare e valorizzare il territorio,è occasione d’incontro e di aggregazione del centro cittadino ed è un importante strumento di sostegno alle attività commerciali insediate.</w:t>
      </w:r>
    </w:p>
    <w:p>
      <w:pPr>
        <w:pStyle w:val="Normal"/>
        <w:shd w:val="clear" w:color="auto" w:fill="FFFFFF"/>
        <w:ind w:hanging="225"/>
        <w:jc w:val="both"/>
        <w:textAlignment w:val="baseline"/>
        <w:rPr>
          <w:rStyle w:val="Inlinea"/>
          <w:rFonts w:ascii="Open Sans" w:hAnsi="Open Sans" w:eastAsia="Times New Roman" w:cs="Open Sans"/>
          <w:iCs/>
          <w:color w:val="auto"/>
          <w:kern w:val="0"/>
          <w:sz w:val="20"/>
          <w:szCs w:val="20"/>
          <w:lang w:val="it-IT" w:eastAsia="zh-CN" w:bidi="ar-SA"/>
        </w:rPr>
      </w:pPr>
      <w:r>
        <w:rPr>
          <w:rFonts w:cs="Open Sans" w:ascii="Open Sans" w:hAnsi="Open Sans"/>
          <w:iCs/>
        </w:rPr>
      </w:r>
    </w:p>
    <w:p>
      <w:pPr>
        <w:pStyle w:val="Normal"/>
        <w:shd w:val="clear" w:color="auto" w:fill="FFFFFF"/>
        <w:ind w:hanging="225"/>
        <w:jc w:val="both"/>
        <w:textAlignment w:val="baseline"/>
        <w:rPr>
          <w:rStyle w:val="Inlinea"/>
          <w:rFonts w:ascii="Open Sans" w:hAnsi="Open Sans" w:cs="Open Sans"/>
          <w:iCs/>
        </w:rPr>
      </w:pPr>
      <w:r>
        <w:rPr>
          <w:rFonts w:cs="Open Sans" w:ascii="Open Sans" w:hAnsi="Open Sans"/>
          <w:iCs/>
        </w:rPr>
      </w:r>
    </w:p>
    <w:p>
      <w:pPr>
        <w:pStyle w:val="Normal"/>
        <w:shd w:val="clear" w:color="auto" w:fill="FFFFFF"/>
        <w:ind w:hanging="225"/>
        <w:jc w:val="both"/>
        <w:textAlignment w:val="baseline"/>
        <w:rPr>
          <w:rStyle w:val="Inlinea"/>
          <w:rFonts w:ascii="Open Sans" w:hAnsi="Open Sans" w:cs="Open Sans"/>
          <w:iCs/>
        </w:rPr>
      </w:pPr>
      <w:r>
        <w:rPr>
          <w:rFonts w:cs="Open Sans" w:ascii="Open Sans" w:hAnsi="Open Sans"/>
          <w:iCs/>
        </w:rPr>
      </w:r>
    </w:p>
    <w:p>
      <w:pPr>
        <w:pStyle w:val="Normal"/>
        <w:shd w:val="clear" w:color="auto" w:fill="FFFFFF"/>
        <w:ind w:hanging="225"/>
        <w:jc w:val="both"/>
        <w:textAlignment w:val="baseline"/>
        <w:rPr/>
      </w:pPr>
      <w:r>
        <w:rPr>
          <w:rStyle w:val="Inlinea"/>
          <w:rFonts w:cs="Open Sans" w:ascii="Open Sans" w:hAnsi="Open Sans"/>
          <w:iCs/>
        </w:rPr>
        <w:t>FIRMA_________________________________</w:t>
      </w:r>
    </w:p>
    <w:sectPr>
      <w:type w:val="nextPage"/>
      <w:pgSz w:w="11906" w:h="16838"/>
      <w:pgMar w:left="840" w:right="521" w:gutter="0" w:header="0" w:top="851" w:footer="0" w:bottom="851"/>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Palatino Linotype">
    <w:charset w:val="00"/>
    <w:family w:val="roman"/>
    <w:pitch w:val="variable"/>
  </w:font>
  <w:font w:name="Symbol">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Open Sans">
    <w:charset w:val="00"/>
    <w:family w:val="roman"/>
    <w:pitch w:val="variable"/>
  </w:font>
  <w:font w:name="Wingdings">
    <w:charset w:val="01"/>
    <w:family w:val="auto"/>
    <w:pitch w:val="default"/>
  </w:font>
  <w:font w:name="Arial">
    <w:charset w:val="00"/>
    <w:family w:val="roman"/>
    <w:pitch w:val="variable"/>
  </w:font>
  <w:font w:name="MT Extra">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lvl>
    <w:lvl w:ilvl="1">
      <w:start w:val="1"/>
      <w:pStyle w:val="Titolo2"/>
      <w:numFmt w:val="none"/>
      <w:suff w:val="nothing"/>
      <w:lvlText w:val=""/>
      <w:lvlJc w:val="left"/>
      <w:pPr>
        <w:tabs>
          <w:tab w:val="num" w:pos="0"/>
        </w:tabs>
        <w:ind w:left="576" w:hanging="576"/>
      </w:pPr>
    </w:lvl>
    <w:lvl w:ilvl="2">
      <w:start w:val="1"/>
      <w:pStyle w:val="Titolo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sz w:val="24"/>
        <w:szCs w:val="24"/>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bullet"/>
      <w:suff w:val="nothing"/>
      <w:lvlText w:val=""/>
      <w:lvlJc w:val="left"/>
      <w:pPr>
        <w:tabs>
          <w:tab w:val="num" w:pos="0"/>
        </w:tabs>
        <w:ind w:left="227" w:hanging="227"/>
      </w:pPr>
      <w:rPr>
        <w:rFonts w:ascii="MT Extra" w:hAnsi="MT Extra" w:cs="MT Extra"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zh-CN" w:bidi="ar-SA"/>
    </w:rPr>
  </w:style>
  <w:style w:type="paragraph" w:styleId="Titolo1">
    <w:name w:val="Heading 1"/>
    <w:basedOn w:val="Normal"/>
    <w:next w:val="Normal"/>
    <w:qFormat/>
    <w:pPr>
      <w:keepNext w:val="true"/>
      <w:numPr>
        <w:ilvl w:val="0"/>
        <w:numId w:val="1"/>
      </w:numPr>
      <w:ind w:left="0" w:right="567" w:hanging="0"/>
      <w:jc w:val="center"/>
      <w:outlineLvl w:val="0"/>
    </w:pPr>
    <w:rPr>
      <w:i/>
      <w:iCs/>
      <w:sz w:val="24"/>
    </w:rPr>
  </w:style>
  <w:style w:type="paragraph" w:styleId="Titolo2">
    <w:name w:val="Heading 2"/>
    <w:basedOn w:val="Normal"/>
    <w:next w:val="Normal"/>
    <w:qFormat/>
    <w:pPr>
      <w:keepNext w:val="true"/>
      <w:numPr>
        <w:ilvl w:val="1"/>
        <w:numId w:val="1"/>
      </w:numPr>
      <w:jc w:val="center"/>
      <w:outlineLvl w:val="1"/>
    </w:pPr>
    <w:rPr>
      <w:sz w:val="24"/>
    </w:rPr>
  </w:style>
  <w:style w:type="paragraph" w:styleId="Titolo3">
    <w:name w:val="Heading 3"/>
    <w:basedOn w:val="Normal"/>
    <w:next w:val="Normal"/>
    <w:qFormat/>
    <w:pPr>
      <w:keepNext w:val="true"/>
      <w:numPr>
        <w:ilvl w:val="2"/>
        <w:numId w:val="1"/>
      </w:numPr>
      <w:ind w:left="0" w:right="567" w:hanging="0"/>
      <w:jc w:val="both"/>
      <w:outlineLvl w:val="2"/>
    </w:pPr>
    <w:rPr>
      <w:sz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Wingdings" w:hAnsi="Wingdings" w:cs="Wingdings"/>
      <w:sz w:val="24"/>
      <w:szCs w:val="24"/>
    </w:rPr>
  </w:style>
  <w:style w:type="character" w:styleId="WW8Num3z0" w:customStyle="1">
    <w:name w:val="WW8Num3z0"/>
    <w:qFormat/>
    <w:rPr>
      <w:rFonts w:ascii="Wingdings" w:hAnsi="Wingdings" w:cs="Wingdings"/>
    </w:rPr>
  </w:style>
  <w:style w:type="character" w:styleId="WW8Num4z0" w:customStyle="1">
    <w:name w:val="WW8Num4z0"/>
    <w:qFormat/>
    <w:rPr>
      <w:rFonts w:ascii="Wingdings" w:hAnsi="Wingdings" w:cs="Wingdings"/>
      <w:spacing w:val="-2"/>
      <w:sz w:val="24"/>
      <w:szCs w:val="24"/>
    </w:rPr>
  </w:style>
  <w:style w:type="character" w:styleId="WW8Num5z0" w:customStyle="1">
    <w:name w:val="WW8Num5z0"/>
    <w:qFormat/>
    <w:rPr>
      <w:rFonts w:ascii="Palatino Linotype" w:hAnsi="Palatino Linotype" w:cs="Palatino Linotyp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7z0" w:customStyle="1">
    <w:name w:val="WW8Num7z0"/>
    <w:qFormat/>
    <w:rPr>
      <w:rFonts w:ascii="Symbol" w:hAnsi="Symbol" w:cs="Symbol"/>
      <w:sz w:val="24"/>
      <w:szCs w:val="24"/>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Carpredefinitoparagrafo1" w:customStyle="1">
    <w:name w:val="Car. predefinito paragrafo1"/>
    <w:qFormat/>
    <w:rPr/>
  </w:style>
  <w:style w:type="character" w:styleId="CollegamentoInternet" w:customStyle="1">
    <w:name w:val="Collegamento Internet"/>
    <w:rPr>
      <w:color w:val="0000FF"/>
      <w:u w:val="single"/>
    </w:rPr>
  </w:style>
  <w:style w:type="character" w:styleId="CollegamentoInternetvisitato" w:customStyle="1">
    <w:name w:val="Collegamento Internet visitato"/>
    <w:rPr>
      <w:color w:val="800080"/>
      <w:u w:val="single"/>
    </w:rPr>
  </w:style>
  <w:style w:type="character" w:styleId="IntestazioneCarattere" w:customStyle="1">
    <w:name w:val="Intestazione Carattere"/>
    <w:basedOn w:val="Carpredefinitoparagrafo1"/>
    <w:qFormat/>
    <w:rPr/>
  </w:style>
  <w:style w:type="character" w:styleId="TestofumettoCarattere" w:customStyle="1">
    <w:name w:val="Testo fumetto Carattere"/>
    <w:qFormat/>
    <w:rPr>
      <w:rFonts w:ascii="Tahoma" w:hAnsi="Tahoma" w:cs="Tahoma"/>
      <w:sz w:val="16"/>
      <w:szCs w:val="16"/>
    </w:rPr>
  </w:style>
  <w:style w:type="character" w:styleId="RientrocorpodeltestoCarattere" w:customStyle="1">
    <w:name w:val="Rientro corpo del testo Carattere"/>
    <w:basedOn w:val="Carpredefinitoparagrafo1"/>
    <w:qFormat/>
    <w:rPr/>
  </w:style>
  <w:style w:type="character" w:styleId="Enfasiforte" w:customStyle="1">
    <w:name w:val="Enfasi forte"/>
    <w:qFormat/>
    <w:rPr>
      <w:b/>
      <w:bCs/>
    </w:rPr>
  </w:style>
  <w:style w:type="character" w:styleId="Enfasi" w:customStyle="1">
    <w:name w:val="Enfasi"/>
    <w:qFormat/>
    <w:rPr>
      <w:i/>
      <w:iCs/>
    </w:rPr>
  </w:style>
  <w:style w:type="character" w:styleId="Inlinea" w:customStyle="1">
    <w:name w:val="inlinea"/>
    <w:qFormat/>
    <w:rPr/>
  </w:style>
  <w:style w:type="character" w:styleId="Comma" w:customStyle="1">
    <w:name w:val="comma"/>
    <w:qFormat/>
    <w:rPr/>
  </w:style>
  <w:style w:type="character" w:styleId="Elencon" w:customStyle="1">
    <w:name w:val="elenco_n"/>
    <w:qFormat/>
    <w:rPr/>
  </w:style>
  <w:style w:type="character" w:styleId="Caratteridinumerazione" w:customStyle="1">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Gentium Basic"/>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Mangal;Gentium Basic"/>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Mangal;Gentium Basic"/>
      <w:i/>
      <w:iCs/>
      <w:sz w:val="24"/>
      <w:szCs w:val="24"/>
    </w:rPr>
  </w:style>
  <w:style w:type="paragraph" w:styleId="Titolo11" w:customStyle="1">
    <w:name w:val="Titolo1"/>
    <w:basedOn w:val="Normal"/>
    <w:next w:val="Corpodeltesto"/>
    <w:qFormat/>
    <w:pPr>
      <w:keepNext w:val="true"/>
      <w:spacing w:before="240" w:after="120"/>
    </w:pPr>
    <w:rPr>
      <w:rFonts w:ascii="Liberation Sans" w:hAnsi="Liberation Sans" w:eastAsia="Microsoft YaHei" w:cs="Mangal;Gentium Basic"/>
      <w:sz w:val="28"/>
      <w:szCs w:val="28"/>
    </w:rPr>
  </w:style>
  <w:style w:type="paragraph" w:styleId="Intestazioneepidipagina" w:customStyle="1">
    <w:name w:val="Intestazione e piè di pagina"/>
    <w:basedOn w:val="Normal"/>
    <w:qFormat/>
    <w:pPr>
      <w:suppressLineNumbers/>
      <w:tabs>
        <w:tab w:val="clear" w:pos="709"/>
        <w:tab w:val="center" w:pos="4819" w:leader="none"/>
        <w:tab w:val="right" w:pos="9638" w:leader="none"/>
      </w:tabs>
    </w:pPr>
    <w:rPr/>
  </w:style>
  <w:style w:type="paragraph" w:styleId="Intestazione">
    <w:name w:val="Header"/>
    <w:basedOn w:val="Normal"/>
    <w:pPr>
      <w:tabs>
        <w:tab w:val="clear" w:pos="709"/>
        <w:tab w:val="center" w:pos="4819" w:leader="none"/>
        <w:tab w:val="right" w:pos="9638" w:leader="none"/>
      </w:tabs>
    </w:pPr>
    <w:rPr/>
  </w:style>
  <w:style w:type="paragraph" w:styleId="Pidipagina">
    <w:name w:val="Footer"/>
    <w:basedOn w:val="Normal"/>
    <w:pPr>
      <w:tabs>
        <w:tab w:val="clear" w:pos="709"/>
        <w:tab w:val="center" w:pos="4819" w:leader="none"/>
        <w:tab w:val="right" w:pos="9638" w:leader="none"/>
      </w:tabs>
    </w:pPr>
    <w:rPr/>
  </w:style>
  <w:style w:type="paragraph" w:styleId="BalloonText">
    <w:name w:val="Balloon Text"/>
    <w:basedOn w:val="Normal"/>
    <w:qFormat/>
    <w:pPr/>
    <w:rPr>
      <w:rFonts w:ascii="Tahoma" w:hAnsi="Tahoma" w:cs="Tahoma"/>
      <w:sz w:val="16"/>
      <w:szCs w:val="16"/>
    </w:rPr>
  </w:style>
  <w:style w:type="paragraph" w:styleId="Rientrocorpodeltesto">
    <w:name w:val="Body Text Indent"/>
    <w:basedOn w:val="Normal"/>
    <w:pPr>
      <w:spacing w:before="0" w:after="120"/>
      <w:ind w:left="283" w:hanging="0"/>
    </w:pPr>
    <w:rPr/>
  </w:style>
  <w:style w:type="paragraph" w:styleId="Contenutocornice" w:customStyle="1">
    <w:name w:val="Contenuto cornice"/>
    <w:basedOn w:val="Normal"/>
    <w:qFormat/>
    <w:pPr/>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paragraph" w:styleId="ListParagraph">
    <w:name w:val="List Paragraph"/>
    <w:basedOn w:val="Normal"/>
    <w:qFormat/>
    <w:pPr>
      <w:suppressAutoHyphens w:val="false"/>
      <w:ind w:left="708" w:hanging="0"/>
    </w:pPr>
    <w:rPr>
      <w:sz w:val="24"/>
      <w:szCs w:val="24"/>
    </w:rPr>
  </w:style>
  <w:style w:type="paragraph" w:styleId="NormalWeb">
    <w:name w:val="Normal (Web)"/>
    <w:basedOn w:val="Normal"/>
    <w:qFormat/>
    <w:pPr>
      <w:suppressAutoHyphens w:val="false"/>
      <w:spacing w:before="100" w:after="100"/>
    </w:pPr>
    <w:rPr>
      <w:sz w:val="24"/>
      <w:szCs w:val="24"/>
    </w:rPr>
  </w:style>
  <w:style w:type="paragraph" w:styleId="Distanzia" w:customStyle="1">
    <w:name w:val="distanzia"/>
    <w:basedOn w:val="Normal"/>
    <w:qFormat/>
    <w:pPr>
      <w:suppressAutoHyphens w:val="false"/>
      <w:spacing w:before="100" w:after="100"/>
    </w:pPr>
    <w:rPr>
      <w:sz w:val="24"/>
      <w:szCs w:val="24"/>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Punto" w:customStyle="1">
    <w:name w:val="Punto •"/>
    <w:qFormat/>
  </w:style>
  <w:style w:type="numbering" w:styleId="NumerazioneIVX" w:customStyle="1">
    <w:name w:val="Numerazione IVX"/>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ffici@comune.novellara.re.it" TargetMode="External"/><Relationship Id="rId3" Type="http://schemas.openxmlformats.org/officeDocument/2006/relationships/hyperlink" Target="mailto:novellara@cert.provincia.re.it" TargetMode="External"/><Relationship Id="rId4" Type="http://schemas.openxmlformats.org/officeDocument/2006/relationships/hyperlink" Target="callto:0376-803074 - 0376" TargetMode="External"/><Relationship Id="rId5" Type="http://schemas.openxmlformats.org/officeDocument/2006/relationships/hyperlink" Target="mailto:consulenza@entionline.it" TargetMode="External"/><Relationship Id="rId6" Type="http://schemas.openxmlformats.org/officeDocument/2006/relationships/hyperlink" Target="mailto:nadia.cora@mantova.pecavvocati.it" TargetMode="External"/><Relationship Id="rId7" Type="http://schemas.openxmlformats.org/officeDocument/2006/relationships/hyperlink" Target="https://def.finanze.it/DocTribFrontend/decodeurn?urn=urn:doctrib::L:1956-12-27;1423" TargetMode="External"/><Relationship Id="rId8" Type="http://schemas.openxmlformats.org/officeDocument/2006/relationships/hyperlink" Target="https://def.finanze.it/DocTribFrontend/decodeurn?urn=urn:doctrib::L:1965-05-31;575" TargetMode="External"/><Relationship Id="rId9" Type="http://schemas.openxmlformats.org/officeDocument/2006/relationships/hyperlink" Target="https://def.finanze.it/DocTribFrontend/decodeurn?urn=urn:doctrib::DPR:1998-06-03;252_art2-com3" TargetMode="External"/><Relationship Id="rId10" Type="http://schemas.openxmlformats.org/officeDocument/2006/relationships/hyperlink" Target="http://www.normattiva.it/uri-res/N2Ls?urn:nir:stato:decreto.legislativo:2010;59" TargetMode="External"/><Relationship Id="rId11" Type="http://schemas.openxmlformats.org/officeDocument/2006/relationships/image" Target="media/image1.png"/><Relationship Id="rId12" Type="http://schemas.openxmlformats.org/officeDocument/2006/relationships/image" Target="media/image1.png"/><Relationship Id="rId13" Type="http://schemas.openxmlformats.org/officeDocument/2006/relationships/hyperlink" Target="https://demetra.regione.emilia-romagna.it/al/articolo?urn=urn:nir:regione.emilia.romagna:legge:2015-07-urn:nir:regione.emilia.romagna:legge:2004-03-24;6&amp;urn_tl=dl&amp;urn_t=text/xml&amp;urn_a=y&amp;urn_d=v&amp;urn_dv=n&amp;pr=idx,0;artic,0;articparziale,1&amp;anc=art56" TargetMode="External"/><Relationship Id="rId14" Type="http://schemas.openxmlformats.org/officeDocument/2006/relationships/hyperlink" Target="http://www.normattiva.it/uri-res/N2Ls?" TargetMode="External"/><Relationship Id="rId15" Type="http://schemas.openxmlformats.org/officeDocument/2006/relationships/image" Target="media/image1.png"/><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Application>LibreOffice/7.2.5.2$Windows_X86_64 LibreOffice_project/499f9727c189e6ef3471021d6132d4c694f357e5</Application>
  <AppVersion>15.0000</AppVersion>
  <Pages>4</Pages>
  <Words>2654</Words>
  <Characters>15508</Characters>
  <CharactersWithSpaces>18067</CharactersWithSpaces>
  <Paragraphs>104</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2011-08-30T16:07:00Z</dcterms:created>
  <dc:creator>Ferretti</dc:creator>
  <dc:description/>
  <dc:language>it-IT</dc:language>
  <cp:lastModifiedBy/>
  <cp:lastPrinted>2022-06-23T10:58:00Z</cp:lastPrinted>
  <dcterms:modified xsi:type="dcterms:W3CDTF">2022-12-02T16:25:45Z</dcterms:modified>
  <cp:revision>82</cp:revision>
  <dc:subject/>
  <dc:title>Spett</dc:title>
</cp:coreProperties>
</file>

<file path=docProps/custom.xml><?xml version="1.0" encoding="utf-8"?>
<Properties xmlns="http://schemas.openxmlformats.org/officeDocument/2006/custom-properties" xmlns:vt="http://schemas.openxmlformats.org/officeDocument/2006/docPropsVTypes"/>
</file>